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right"/>
        <w:rPr/>
      </w:pPr>
      <w:r>
        <w:rPr>
          <w:rFonts w:eastAsia="Times New Roman" w:cs="Segoe UI" w:ascii="Nimbus Roman No9 L" w:hAnsi="Nimbus Roman No9 L"/>
          <w:b/>
          <w:color w:val="00000A"/>
          <w:sz w:val="20"/>
          <w:lang w:val="es-ES"/>
        </w:rPr>
        <w:t>Nº expediente OAR: xxxxxxxxxxxxxxxxx</w:t>
      </w:r>
    </w:p>
    <w:p>
      <w:pPr>
        <w:pStyle w:val="Normal"/>
        <w:jc w:val="right"/>
        <w:rPr/>
      </w:pPr>
      <w:r>
        <w:rPr>
          <w:rFonts w:eastAsia="Times New Roman" w:cs="Segoe UI" w:ascii="Nimbus Roman No9 L" w:hAnsi="Nimbus Roman No9 L"/>
          <w:b/>
          <w:color w:val="00000A"/>
          <w:sz w:val="20"/>
          <w:lang w:val="es-ES"/>
        </w:rPr>
        <w:t>N.º expediente OAR: xxxxxxxxxxxxxxxx</w:t>
      </w:r>
    </w:p>
    <w:p>
      <w:pPr>
        <w:pStyle w:val="Normal"/>
        <w:jc w:val="right"/>
        <w:rPr/>
      </w:pPr>
      <w:r>
        <w:rPr>
          <w:rFonts w:eastAsia="Times New Roman" w:cs="Segoe UI" w:ascii="Nimbus Roman No9 L" w:hAnsi="Nimbus Roman No9 L"/>
          <w:b/>
          <w:color w:val="00000A"/>
          <w:sz w:val="20"/>
          <w:lang w:val="es-ES"/>
        </w:rPr>
        <w:t>Nº expediente OAR: xxxxxxxxxxxxxxxx</w:t>
      </w:r>
    </w:p>
    <w:p>
      <w:pPr>
        <w:pStyle w:val="Normal"/>
        <w:jc w:val="right"/>
        <w:rPr/>
      </w:pPr>
      <w:r>
        <w:rPr>
          <w:rFonts w:eastAsia="Times New Roman" w:cs="Segoe UI" w:ascii="Nimbus Roman No9 L" w:hAnsi="Nimbus Roman No9 L"/>
          <w:b/>
          <w:color w:val="00000A"/>
          <w:sz w:val="20"/>
          <w:lang w:val="es-ES"/>
        </w:rPr>
        <w:t>N.º expediente OAR: xxxxxxxxxxxxxxx</w:t>
      </w:r>
    </w:p>
    <w:p>
      <w:pPr>
        <w:pStyle w:val="Normal"/>
        <w:jc w:val="center"/>
        <w:rPr>
          <w:rFonts w:ascii="Nimbus Roman No9 L" w:hAnsi="Nimbus Roman No9 L" w:eastAsia="Times New Roman" w:cs="Segoe UI"/>
          <w:b/>
          <w:b/>
          <w:color w:val="00000A"/>
          <w:szCs w:val="24"/>
          <w:lang w:val="es-ES"/>
        </w:rPr>
      </w:pPr>
      <w:r>
        <w:rPr>
          <w:rFonts w:eastAsia="Times New Roman" w:cs="Segoe UI" w:ascii="Nimbus Roman No9 L" w:hAnsi="Nimbus Roman No9 L"/>
          <w:b/>
          <w:color w:val="00000A"/>
          <w:szCs w:val="24"/>
          <w:lang w:val="es-ES"/>
        </w:rPr>
      </w:r>
    </w:p>
    <w:p>
      <w:pPr>
        <w:pStyle w:val="Normal"/>
        <w:jc w:val="center"/>
        <w:rPr/>
      </w:pPr>
      <w:r>
        <w:rPr>
          <w:rFonts w:eastAsia="Times New Roman" w:cs="Segoe UI" w:ascii="Nimbus Roman No9 L" w:hAnsi="Nimbus Roman No9 L"/>
          <w:b/>
          <w:color w:val="00000A"/>
          <w:szCs w:val="24"/>
          <w:lang w:val="es-ES"/>
        </w:rPr>
        <w:t xml:space="preserve">AL MINISTERIO DEL INTERIOR </w:t>
      </w:r>
    </w:p>
    <w:p>
      <w:pPr>
        <w:pStyle w:val="Normal"/>
        <w:jc w:val="center"/>
        <w:rPr>
          <w:rFonts w:ascii="Nimbus Roman No9 L" w:hAnsi="Nimbus Roman No9 L" w:eastAsia="Times New Roman" w:cs="Segoe UI"/>
          <w:b/>
          <w:b/>
          <w:color w:val="00000A"/>
          <w:szCs w:val="24"/>
          <w:lang w:val="es-ES"/>
        </w:rPr>
      </w:pPr>
      <w:r>
        <w:rPr>
          <w:rFonts w:eastAsia="Times New Roman" w:cs="Segoe UI" w:ascii="Nimbus Roman No9 L" w:hAnsi="Nimbus Roman No9 L"/>
          <w:b/>
          <w:color w:val="00000A"/>
          <w:szCs w:val="24"/>
          <w:lang w:val="es-ES"/>
        </w:rPr>
        <w:t>S.G. DE PROTECCIÓN INTERNACIONAL</w:t>
      </w:r>
    </w:p>
    <w:p>
      <w:pPr>
        <w:pStyle w:val="Normal"/>
        <w:jc w:val="center"/>
        <w:rPr>
          <w:rFonts w:ascii="Nimbus Roman No9 L" w:hAnsi="Nimbus Roman No9 L" w:eastAsia="Times New Roman" w:cs="Segoe UI"/>
          <w:b/>
          <w:b/>
          <w:color w:val="00000A"/>
          <w:szCs w:val="24"/>
          <w:lang w:val="es-ES"/>
        </w:rPr>
      </w:pPr>
      <w:r>
        <w:rPr>
          <w:rFonts w:eastAsia="Times New Roman" w:cs="Segoe UI" w:ascii="Nimbus Roman No9 L" w:hAnsi="Nimbus Roman No9 L"/>
          <w:b/>
          <w:color w:val="00000A"/>
          <w:szCs w:val="24"/>
          <w:lang w:val="es-ES"/>
        </w:rPr>
      </w:r>
    </w:p>
    <w:p>
      <w:pPr>
        <w:pStyle w:val="Normal"/>
        <w:spacing w:lineRule="auto" w:line="276"/>
        <w:jc w:val="center"/>
        <w:rPr/>
      </w:pPr>
      <w:r>
        <w:rPr>
          <w:rFonts w:cs="Segoe UI" w:ascii="Nimbus Roman No9 L" w:hAnsi="Nimbus Roman No9 L"/>
          <w:color w:val="00000A"/>
          <w:szCs w:val="24"/>
          <w:lang w:val="es-ES"/>
        </w:rPr>
        <w:t>C/ San Fernando del Jarama, 14</w:t>
      </w:r>
    </w:p>
    <w:p>
      <w:pPr>
        <w:pStyle w:val="Normal"/>
        <w:spacing w:lineRule="auto" w:line="276"/>
        <w:jc w:val="center"/>
        <w:rPr>
          <w:rFonts w:ascii="Nimbus Roman No9 L" w:hAnsi="Nimbus Roman No9 L" w:cs="Segoe UI"/>
          <w:color w:val="00000A"/>
          <w:szCs w:val="24"/>
          <w:lang w:val="es-ES"/>
        </w:rPr>
      </w:pPr>
      <w:r>
        <w:rPr>
          <w:rFonts w:cs="Segoe UI" w:ascii="Nimbus Roman No9 L" w:hAnsi="Nimbus Roman No9 L"/>
          <w:color w:val="00000A"/>
          <w:szCs w:val="24"/>
          <w:lang w:val="es-ES"/>
        </w:rPr>
        <w:t>28002 Madrid</w:t>
      </w:r>
    </w:p>
    <w:p>
      <w:pPr>
        <w:pStyle w:val="Normal"/>
        <w:jc w:val="center"/>
        <w:rPr>
          <w:rFonts w:ascii="Nimbus Roman No9 L" w:hAnsi="Nimbus Roman No9 L" w:eastAsia="Times New Roman" w:cs="Segoe UI"/>
          <w:b/>
          <w:b/>
          <w:color w:val="00000A"/>
          <w:szCs w:val="24"/>
          <w:lang w:val="es-ES"/>
        </w:rPr>
      </w:pPr>
      <w:r>
        <w:rPr>
          <w:rFonts w:eastAsia="Times New Roman" w:cs="Segoe UI" w:ascii="Nimbus Roman No9 L" w:hAnsi="Nimbus Roman No9 L"/>
          <w:b/>
          <w:color w:val="00000A"/>
          <w:szCs w:val="24"/>
          <w:lang w:val="es-ES"/>
        </w:rPr>
      </w:r>
    </w:p>
    <w:p>
      <w:pPr>
        <w:pStyle w:val="Normal"/>
        <w:jc w:val="both"/>
        <w:rPr/>
      </w:pPr>
      <w:r>
        <w:rPr>
          <w:rFonts w:eastAsia="Times New Roman" w:cs="Segoe UI" w:ascii="Nimbus Roman No9 L" w:hAnsi="Nimbus Roman No9 L"/>
          <w:b/>
          <w:color w:val="00000A"/>
          <w:szCs w:val="24"/>
          <w:lang w:val="es-ES"/>
        </w:rPr>
        <w:t xml:space="preserve">D/Dª </w:t>
      </w:r>
      <w:r>
        <w:rPr>
          <w:rFonts w:eastAsia="Times New Roman" w:cs="Segoe UI" w:ascii="Nimbus Roman No9 L" w:hAnsi="Nimbus Roman No9 L"/>
          <w:b/>
          <w:color w:val="3333FF"/>
          <w:szCs w:val="24"/>
          <w:lang w:val="es-ES"/>
        </w:rPr>
        <w:t>NOMBRE Y APELLIDOS</w:t>
      </w:r>
      <w:r>
        <w:rPr>
          <w:rFonts w:cs="Segoe UI" w:ascii="Nimbus Roman No9 L" w:hAnsi="Nimbus Roman No9 L"/>
          <w:b/>
          <w:color w:val="3333FF"/>
          <w:szCs w:val="24"/>
          <w:lang w:val="es-ES"/>
        </w:rPr>
        <w:t xml:space="preserve"> </w:t>
      </w:r>
      <w:r>
        <w:rPr>
          <w:rFonts w:cs="Segoe UI" w:ascii="Nimbus Roman No9 L" w:hAnsi="Nimbus Roman No9 L"/>
          <w:color w:val="00000A"/>
          <w:szCs w:val="24"/>
          <w:lang w:val="es-ES"/>
        </w:rPr>
        <w:t xml:space="preserve">mayor de edad, provisto de NIE número </w:t>
      </w:r>
      <w:r>
        <w:rPr>
          <w:rFonts w:cs="Segoe UI" w:ascii="Nimbus Roman No9 L" w:hAnsi="Nimbus Roman No9 L"/>
          <w:color w:val="3333FF"/>
          <w:szCs w:val="24"/>
          <w:lang w:val="es-ES"/>
        </w:rPr>
        <w:t>xxxxxxxxxxxx</w:t>
      </w:r>
      <w:r>
        <w:rPr>
          <w:rFonts w:cs="Segoe UI" w:ascii="Nimbus Roman No9 L" w:hAnsi="Nimbus Roman No9 L"/>
          <w:color w:val="00000A"/>
          <w:szCs w:val="24"/>
          <w:lang w:val="es-ES"/>
        </w:rPr>
        <w:t xml:space="preserve"> y pasaporte nº </w:t>
      </w:r>
      <w:r>
        <w:rPr>
          <w:rFonts w:cs="Segoe UI" w:ascii="Nimbus Roman No9 L" w:hAnsi="Nimbus Roman No9 L"/>
          <w:color w:val="3333FF"/>
          <w:szCs w:val="24"/>
          <w:lang w:val="es-ES"/>
        </w:rPr>
        <w:t>xxxxxxxxxxx</w:t>
      </w:r>
      <w:r>
        <w:rPr>
          <w:rFonts w:cs="Segoe UI" w:ascii="Nimbus Roman No9 L" w:hAnsi="Nimbus Roman No9 L"/>
          <w:color w:val="00000A"/>
          <w:szCs w:val="24"/>
          <w:lang w:val="es-ES"/>
        </w:rPr>
        <w:t xml:space="preserve">; D./Dª </w:t>
      </w:r>
      <w:r>
        <w:rPr>
          <w:rFonts w:cs="Segoe UI" w:ascii="Nimbus Roman No9 L" w:hAnsi="Nimbus Roman No9 L"/>
          <w:color w:val="3333FF"/>
          <w:szCs w:val="24"/>
          <w:lang w:val="es-ES"/>
        </w:rPr>
        <w:t>nombre y apellidos,</w:t>
      </w:r>
      <w:r>
        <w:rPr>
          <w:rFonts w:cs="Segoe UI" w:ascii="Nimbus Roman No9 L" w:hAnsi="Nimbus Roman No9 L"/>
          <w:color w:val="00000A"/>
          <w:szCs w:val="24"/>
          <w:lang w:val="es-ES"/>
        </w:rPr>
        <w:t xml:space="preserve"> provisto de NIE número </w:t>
      </w:r>
      <w:r>
        <w:rPr>
          <w:rFonts w:cs="Segoe UI" w:ascii="Nimbus Roman No9 L" w:hAnsi="Nimbus Roman No9 L"/>
          <w:color w:val="3333FF"/>
          <w:szCs w:val="24"/>
          <w:lang w:val="es-ES"/>
        </w:rPr>
        <w:t>xxxxxxxxxxxx</w:t>
      </w:r>
      <w:r>
        <w:rPr>
          <w:rFonts w:cs="Segoe UI" w:ascii="Nimbus Roman No9 L" w:hAnsi="Nimbus Roman No9 L"/>
          <w:color w:val="00000A"/>
          <w:szCs w:val="24"/>
          <w:lang w:val="es-ES"/>
        </w:rPr>
        <w:t xml:space="preserve"> y pasaporte nº </w:t>
      </w:r>
      <w:r>
        <w:rPr>
          <w:rFonts w:cs="Segoe UI" w:ascii="Nimbus Roman No9 L" w:hAnsi="Nimbus Roman No9 L"/>
          <w:color w:val="3333FF"/>
          <w:szCs w:val="24"/>
          <w:lang w:val="es-ES"/>
        </w:rPr>
        <w:t>xxxxxxxxxxx</w:t>
      </w:r>
      <w:r>
        <w:rPr>
          <w:rFonts w:cs="Segoe UI" w:ascii="Nimbus Roman No9 L" w:hAnsi="Nimbus Roman No9 L"/>
          <w:color w:val="00000A"/>
          <w:szCs w:val="24"/>
          <w:lang w:val="es-ES"/>
        </w:rPr>
        <w:t xml:space="preserve">; sus hijos </w:t>
      </w:r>
      <w:r>
        <w:rPr>
          <w:rFonts w:cs="Segoe UI" w:ascii="Nimbus Roman No9 L" w:hAnsi="Nimbus Roman No9 L"/>
          <w:color w:val="3333FF"/>
          <w:szCs w:val="24"/>
          <w:lang w:val="es-ES"/>
        </w:rPr>
        <w:t xml:space="preserve">D. </w:t>
      </w:r>
      <w:r>
        <w:rPr>
          <w:rFonts w:eastAsia="Times New Roman" w:cs="Segoe UI" w:ascii="Nimbus Roman No9 L" w:hAnsi="Nimbus Roman No9 L"/>
          <w:b w:val="false"/>
          <w:bCs w:val="false"/>
          <w:color w:val="3333FF"/>
          <w:szCs w:val="24"/>
          <w:lang w:val="es-ES"/>
        </w:rPr>
        <w:t>nombre y apellidos</w:t>
      </w:r>
      <w:r>
        <w:rPr>
          <w:rFonts w:cs="Segoe UI" w:ascii="Nimbus Roman No9 L" w:hAnsi="Nimbus Roman No9 L"/>
          <w:b w:val="false"/>
          <w:bCs w:val="false"/>
          <w:color w:val="00000A"/>
          <w:szCs w:val="24"/>
          <w:lang w:val="es-ES"/>
        </w:rPr>
        <w:t>, menor</w:t>
      </w:r>
      <w:r>
        <w:rPr>
          <w:rFonts w:cs="Segoe UI" w:ascii="Nimbus Roman No9 L" w:hAnsi="Nimbus Roman No9 L"/>
          <w:color w:val="00000A"/>
          <w:szCs w:val="24"/>
          <w:lang w:val="es-ES"/>
        </w:rPr>
        <w:t xml:space="preserve"> de edad, provisto de NIE número </w:t>
      </w:r>
      <w:r>
        <w:rPr>
          <w:rFonts w:cs="Segoe UI" w:ascii="Nimbus Roman No9 L" w:hAnsi="Nimbus Roman No9 L"/>
          <w:color w:val="3333FF"/>
          <w:szCs w:val="24"/>
          <w:lang w:val="es-ES"/>
        </w:rPr>
        <w:t>xxxxxxxxxxxx</w:t>
      </w:r>
      <w:r>
        <w:rPr>
          <w:rFonts w:cs="Segoe UI" w:ascii="Nimbus Roman No9 L" w:hAnsi="Nimbus Roman No9 L"/>
          <w:color w:val="00000A"/>
          <w:szCs w:val="24"/>
          <w:lang w:val="es-ES"/>
        </w:rPr>
        <w:t xml:space="preserve"> y pasaporte nº </w:t>
      </w:r>
      <w:r>
        <w:rPr>
          <w:rFonts w:cs="Segoe UI" w:ascii="Nimbus Roman No9 L" w:hAnsi="Nimbus Roman No9 L"/>
          <w:color w:val="3333FF"/>
          <w:szCs w:val="24"/>
          <w:lang w:val="es-ES"/>
        </w:rPr>
        <w:t>xxxxxxxxxxx;</w:t>
      </w:r>
      <w:r>
        <w:rPr>
          <w:rFonts w:cs="Segoe UI" w:ascii="Nimbus Roman No9 L" w:hAnsi="Nimbus Roman No9 L"/>
          <w:color w:val="00000A"/>
          <w:szCs w:val="24"/>
          <w:lang w:val="es-ES"/>
        </w:rPr>
        <w:t xml:space="preserve"> con dirección postal a efectos de notificaciones del presente expediente a partir de ahora en c/ XXXXXXXXXXXXXXXX, CP, Provincia, teléfono XXXXXXX, y correo electrónico </w:t>
      </w:r>
      <w:hyperlink r:id="rId2">
        <w:r>
          <w:rPr>
            <w:rStyle w:val="EnlacedeInternet"/>
            <w:rFonts w:cs="Segoe UI" w:ascii="Nimbus Roman No9 L" w:hAnsi="Nimbus Roman No9 L"/>
            <w:color w:val="00000A"/>
            <w:szCs w:val="24"/>
            <w:lang w:val="es-ES"/>
          </w:rPr>
          <w:t>XXXXXXX@XXX.com</w:t>
        </w:r>
      </w:hyperlink>
      <w:r>
        <w:rPr>
          <w:rFonts w:cs="Segoe UI" w:ascii="Nimbus Roman No9 L" w:hAnsi="Nimbus Roman No9 L"/>
          <w:color w:val="00000A"/>
          <w:szCs w:val="24"/>
          <w:lang w:val="es-ES"/>
        </w:rPr>
        <w:t>; cuyo resto de circunstancias ya constan en el expediente o expedientes de asilo referenciado/s, ante ustedes comparece y, asistido por Dª NOMBRE Y APELLIDOS,  como mejor proceda en Derecho</w:t>
      </w:r>
    </w:p>
    <w:p>
      <w:pPr>
        <w:pStyle w:val="Normal"/>
        <w:jc w:val="both"/>
        <w:rPr>
          <w:rFonts w:ascii="Nimbus Roman No9 L" w:hAnsi="Nimbus Roman No9 L" w:cs="Segoe UI"/>
          <w:color w:val="00000A"/>
          <w:szCs w:val="24"/>
          <w:lang w:val="es-ES"/>
        </w:rPr>
      </w:pPr>
      <w:r>
        <w:rPr>
          <w:rFonts w:cs="Segoe UI" w:ascii="Nimbus Roman No9 L" w:hAnsi="Nimbus Roman No9 L"/>
          <w:color w:val="00000A"/>
          <w:szCs w:val="24"/>
          <w:lang w:val="es-ES"/>
        </w:rPr>
      </w:r>
    </w:p>
    <w:p>
      <w:pPr>
        <w:pStyle w:val="Normal"/>
        <w:jc w:val="center"/>
        <w:rPr>
          <w:rFonts w:ascii="Nimbus Roman No9 L" w:hAnsi="Nimbus Roman No9 L" w:cs="Segoe UI"/>
          <w:b/>
          <w:b/>
          <w:color w:val="00000A"/>
          <w:szCs w:val="24"/>
          <w:lang w:val="es-ES"/>
        </w:rPr>
      </w:pPr>
      <w:r>
        <w:rPr>
          <w:rFonts w:cs="Segoe UI" w:ascii="Nimbus Roman No9 L" w:hAnsi="Nimbus Roman No9 L"/>
          <w:b/>
          <w:color w:val="00000A"/>
          <w:szCs w:val="24"/>
          <w:lang w:val="es-ES"/>
        </w:rPr>
        <w:t>EXPONE</w:t>
      </w:r>
    </w:p>
    <w:p>
      <w:pPr>
        <w:pStyle w:val="Normal"/>
        <w:jc w:val="both"/>
        <w:rPr>
          <w:rFonts w:ascii="Nimbus Roman No9 L" w:hAnsi="Nimbus Roman No9 L" w:cs="Segoe UI"/>
          <w:color w:val="00000A"/>
          <w:szCs w:val="24"/>
          <w:lang w:val="es-ES"/>
        </w:rPr>
      </w:pPr>
      <w:r>
        <w:rPr>
          <w:rFonts w:cs="Segoe UI" w:ascii="Nimbus Roman No9 L" w:hAnsi="Nimbus Roman No9 L"/>
          <w:color w:val="00000A"/>
          <w:szCs w:val="24"/>
          <w:lang w:val="es-ES"/>
        </w:rPr>
      </w:r>
    </w:p>
    <w:p>
      <w:pPr>
        <w:pStyle w:val="Normal"/>
        <w:jc w:val="both"/>
        <w:rPr/>
      </w:pPr>
      <w:r>
        <w:rPr>
          <w:rFonts w:cs="Segoe UI" w:ascii="Nimbus Roman No9 L" w:hAnsi="Nimbus Roman No9 L"/>
          <w:color w:val="00000A"/>
          <w:szCs w:val="24"/>
          <w:lang w:val="es-ES"/>
        </w:rPr>
        <w:t xml:space="preserve">Que me ha sido notificada por la Comisión Interministerial de Asilo y Refugio RESOLUCIÓN DE DENEGACIÓN DE ASILO Y LA PROTECCIÓN SUBSIDIARIA en la fecha </w:t>
      </w:r>
      <w:r>
        <w:rPr>
          <w:rFonts w:cs="Segoe UI" w:ascii="Nimbus Roman No9 L" w:hAnsi="Nimbus Roman No9 L"/>
          <w:color w:val="3333FF"/>
          <w:szCs w:val="24"/>
          <w:lang w:val="es-ES"/>
        </w:rPr>
        <w:t>XX</w:t>
      </w:r>
      <w:r>
        <w:rPr>
          <w:rFonts w:cs="Segoe UI" w:ascii="Nimbus Roman No9 L" w:hAnsi="Nimbus Roman No9 L"/>
          <w:color w:val="00000A"/>
          <w:szCs w:val="24"/>
          <w:lang w:val="es-ES"/>
        </w:rPr>
        <w:t xml:space="preserve"> de </w:t>
      </w:r>
      <w:r>
        <w:rPr>
          <w:rFonts w:cs="Segoe UI" w:ascii="Nimbus Roman No9 L" w:hAnsi="Nimbus Roman No9 L"/>
          <w:color w:val="3333FF"/>
          <w:szCs w:val="24"/>
          <w:lang w:val="es-ES"/>
        </w:rPr>
        <w:t>XXXXX</w:t>
      </w:r>
      <w:r>
        <w:rPr>
          <w:rFonts w:cs="Segoe UI" w:ascii="Nimbus Roman No9 L" w:hAnsi="Nimbus Roman No9 L"/>
          <w:color w:val="00000A"/>
          <w:szCs w:val="24"/>
          <w:lang w:val="es-ES"/>
        </w:rPr>
        <w:t xml:space="preserve"> de 2021 dictada en el expediente o expedientes arriba referenciado o referenciados y siendo contraria a Derecho y lesiva a mis intereses, por medio del presente escrito viene a presentar el siguiente </w:t>
      </w:r>
      <w:r>
        <w:rPr>
          <w:rFonts w:cs="Segoe UI" w:ascii="Nimbus Roman No9 L" w:hAnsi="Nimbus Roman No9 L"/>
          <w:b/>
          <w:color w:val="00000A"/>
          <w:szCs w:val="24"/>
          <w:lang w:val="es-ES"/>
        </w:rPr>
        <w:t xml:space="preserve">RECURSO DE REPOSICIÓN </w:t>
      </w:r>
      <w:r>
        <w:rPr>
          <w:rFonts w:cs="Segoe UI" w:ascii="Nimbus Roman No9 L" w:hAnsi="Nimbus Roman No9 L"/>
          <w:color w:val="00000A"/>
          <w:szCs w:val="24"/>
          <w:lang w:val="es-ES"/>
        </w:rPr>
        <w:t xml:space="preserve">con base en los siguientes </w:t>
      </w:r>
    </w:p>
    <w:p>
      <w:pPr>
        <w:pStyle w:val="Normal"/>
        <w:jc w:val="both"/>
        <w:rPr>
          <w:rFonts w:ascii="Nimbus Roman No9 L" w:hAnsi="Nimbus Roman No9 L" w:cs="Segoe UI"/>
          <w:color w:val="00000A"/>
          <w:szCs w:val="24"/>
          <w:lang w:val="es-ES"/>
        </w:rPr>
      </w:pPr>
      <w:r>
        <w:rPr>
          <w:rFonts w:cs="Segoe UI" w:ascii="Nimbus Roman No9 L" w:hAnsi="Nimbus Roman No9 L"/>
          <w:color w:val="00000A"/>
          <w:szCs w:val="24"/>
          <w:lang w:val="es-ES"/>
        </w:rPr>
      </w:r>
    </w:p>
    <w:p>
      <w:pPr>
        <w:pStyle w:val="Normal"/>
        <w:jc w:val="center"/>
        <w:rPr>
          <w:rFonts w:ascii="Nimbus Roman No9 L" w:hAnsi="Nimbus Roman No9 L"/>
          <w:color w:val="00000A"/>
          <w:lang w:val="es-ES"/>
        </w:rPr>
      </w:pPr>
      <w:r>
        <w:rPr>
          <w:rFonts w:cs="Segoe UI" w:ascii="Nimbus Roman No9 L" w:hAnsi="Nimbus Roman No9 L"/>
          <w:b/>
          <w:bCs/>
          <w:color w:val="00000A"/>
          <w:szCs w:val="24"/>
          <w:lang w:val="es-ES"/>
        </w:rPr>
        <w:t>MOTIVOS</w:t>
      </w:r>
    </w:p>
    <w:p>
      <w:pPr>
        <w:pStyle w:val="Normal"/>
        <w:jc w:val="both"/>
        <w:rPr>
          <w:rFonts w:ascii="Nimbus Roman No9 L" w:hAnsi="Nimbus Roman No9 L" w:eastAsia="Times New Roman" w:cs="Segoe UI"/>
          <w:b/>
          <w:b/>
          <w:color w:val="00000A"/>
          <w:szCs w:val="24"/>
          <w:lang w:val="es-ES"/>
        </w:rPr>
      </w:pPr>
      <w:r>
        <w:rPr>
          <w:rFonts w:eastAsia="Times New Roman" w:cs="Segoe UI" w:ascii="Nimbus Roman No9 L" w:hAnsi="Nimbus Roman No9 L"/>
          <w:b/>
          <w:color w:val="00000A"/>
          <w:szCs w:val="24"/>
          <w:lang w:val="es-ES"/>
        </w:rPr>
      </w:r>
    </w:p>
    <w:p>
      <w:pPr>
        <w:pStyle w:val="Normal"/>
        <w:jc w:val="both"/>
        <w:rPr>
          <w:rFonts w:ascii="Nimbus Roman No9 L" w:hAnsi="Nimbus Roman No9 L" w:eastAsia="Times New Roman" w:cs="Segoe UI"/>
          <w:b/>
          <w:b/>
          <w:color w:val="00000A"/>
          <w:szCs w:val="24"/>
          <w:lang w:val="es-ES"/>
        </w:rPr>
      </w:pPr>
      <w:r>
        <w:rPr>
          <w:rFonts w:eastAsia="Times New Roman" w:cs="Segoe UI" w:ascii="Nimbus Roman No9 L" w:hAnsi="Nimbus Roman No9 L"/>
          <w:b/>
          <w:color w:val="00000A"/>
          <w:szCs w:val="24"/>
          <w:lang w:val="es-ES"/>
        </w:rPr>
      </w:r>
    </w:p>
    <w:p>
      <w:pPr>
        <w:pStyle w:val="Normal"/>
        <w:jc w:val="both"/>
        <w:rPr/>
      </w:pPr>
      <w:r>
        <w:rPr>
          <w:rFonts w:eastAsia="Times New Roman" w:cs="Segoe UI" w:ascii="Nimbus Roman No9 L" w:hAnsi="Nimbus Roman No9 L"/>
          <w:b/>
          <w:color w:val="00000A"/>
          <w:szCs w:val="24"/>
          <w:lang w:val="es-ES"/>
        </w:rPr>
        <w:t>PRIMERO.- Sobre la vulneración del procedimiento y ampliación de hechos</w:t>
      </w:r>
    </w:p>
    <w:p>
      <w:pPr>
        <w:pStyle w:val="Normal"/>
        <w:jc w:val="both"/>
        <w:rPr>
          <w:rFonts w:ascii="Nimbus Roman No9 L" w:hAnsi="Nimbus Roman No9 L" w:eastAsia="Times New Roman" w:cs="Segoe UI"/>
          <w:b/>
          <w:b/>
          <w:color w:val="00000A"/>
          <w:szCs w:val="24"/>
          <w:lang w:val="es-ES"/>
        </w:rPr>
      </w:pPr>
      <w:r>
        <w:rPr>
          <w:rFonts w:eastAsia="Times New Roman" w:cs="Segoe UI" w:ascii="Nimbus Roman No9 L" w:hAnsi="Nimbus Roman No9 L"/>
          <w:b/>
          <w:color w:val="00000A"/>
          <w:szCs w:val="24"/>
          <w:lang w:val="es-ES"/>
        </w:rPr>
      </w:r>
    </w:p>
    <w:p>
      <w:pPr>
        <w:pStyle w:val="Normal"/>
        <w:jc w:val="both"/>
        <w:rPr/>
      </w:pPr>
      <w:r>
        <w:rPr>
          <w:rFonts w:eastAsia="Times New Roman" w:cs="Segoe UI" w:ascii="Nimbus Roman No9 L" w:hAnsi="Nimbus Roman No9 L"/>
          <w:b w:val="false"/>
          <w:bCs w:val="false"/>
          <w:color w:val="00000A"/>
          <w:szCs w:val="24"/>
          <w:lang w:val="es-ES"/>
        </w:rPr>
        <w:t xml:space="preserve">En primer lugar, la demora del procedimiento por causa atribuible a la administración ha dificultado se garanticen mis derechos, entre ellos la asistencia jurídica, siendo así que </w:t>
      </w:r>
      <w:r>
        <w:rPr>
          <w:rFonts w:eastAsia="Times New Roman" w:cs="Segoe UI" w:ascii="Nimbus Roman No9 L" w:hAnsi="Nimbus Roman No9 L"/>
          <w:b/>
          <w:bCs/>
          <w:color w:val="00000A"/>
          <w:szCs w:val="24"/>
          <w:lang w:val="es-ES"/>
        </w:rPr>
        <w:t>no se me ha proporcionado abogado-a en condiciones razonables</w:t>
      </w:r>
      <w:r>
        <w:rPr>
          <w:rFonts w:eastAsia="Times New Roman" w:cs="Segoe UI" w:ascii="Nimbus Roman No9 L" w:hAnsi="Nimbus Roman No9 L"/>
          <w:b w:val="false"/>
          <w:bCs w:val="false"/>
          <w:color w:val="00000A"/>
          <w:szCs w:val="24"/>
          <w:lang w:val="es-ES"/>
        </w:rPr>
        <w:t xml:space="preserve"> para garantizar mi derecho de asilo, ni se ha procedido a informarme adecuadamente de los derechos y recursos sociales puestos a disposición como “solicitante de asilo”.</w:t>
      </w:r>
    </w:p>
    <w:p>
      <w:pPr>
        <w:pStyle w:val="Normal"/>
        <w:jc w:val="both"/>
        <w:rPr>
          <w:rFonts w:ascii="Nimbus Roman No9 L" w:hAnsi="Nimbus Roman No9 L" w:eastAsia="Times New Roman" w:cs="Segoe UI"/>
          <w:b w:val="false"/>
          <w:b w:val="false"/>
          <w:bCs w:val="false"/>
          <w:color w:val="00000A"/>
          <w:szCs w:val="24"/>
          <w:lang w:val="es-ES"/>
        </w:rPr>
      </w:pPr>
      <w:r>
        <w:rPr>
          <w:rFonts w:eastAsia="Times New Roman" w:cs="Segoe UI" w:ascii="Nimbus Roman No9 L" w:hAnsi="Nimbus Roman No9 L"/>
          <w:b w:val="false"/>
          <w:bCs w:val="false"/>
          <w:color w:val="00000A"/>
          <w:szCs w:val="24"/>
          <w:lang w:val="es-ES"/>
        </w:rPr>
      </w:r>
    </w:p>
    <w:p>
      <w:pPr>
        <w:pStyle w:val="Normal"/>
        <w:jc w:val="both"/>
        <w:rPr>
          <w:color w:val="3333FF"/>
        </w:rPr>
      </w:pPr>
      <w:r>
        <w:rPr>
          <w:rFonts w:eastAsia="Times New Roman" w:cs="Segoe UI" w:ascii="Nimbus Roman No9 L" w:hAnsi="Nimbus Roman No9 L"/>
          <w:b w:val="false"/>
          <w:bCs w:val="false"/>
          <w:color w:val="3333FF"/>
          <w:szCs w:val="24"/>
          <w:lang w:val="es-ES"/>
        </w:rPr>
        <w:t xml:space="preserve">(aquí se puede explicar la </w:t>
      </w:r>
      <w:r>
        <w:rPr>
          <w:rFonts w:eastAsia="Times New Roman" w:cs="Segoe UI" w:ascii="Nimbus Roman No9 L" w:hAnsi="Nimbus Roman No9 L"/>
          <w:b/>
          <w:bCs/>
          <w:color w:val="3333FF"/>
          <w:szCs w:val="24"/>
          <w:lang w:val="es-ES"/>
        </w:rPr>
        <w:t>trayectoria e itinerario desde que se llegó a España</w:t>
      </w:r>
      <w:r>
        <w:rPr>
          <w:rFonts w:eastAsia="Times New Roman" w:cs="Segoe UI" w:ascii="Nimbus Roman No9 L" w:hAnsi="Nimbus Roman No9 L"/>
          <w:b w:val="false"/>
          <w:bCs w:val="false"/>
          <w:color w:val="3333FF"/>
          <w:szCs w:val="24"/>
          <w:lang w:val="es-ES"/>
        </w:rPr>
        <w:t>, con detalle sobre fechas y situaciones, adjuntando documentos acreditativos, en caso de tenerlos, mostrando especialmente la falta de alojamiento, manutención, asistencia sanitaria, psicológica y jurídica especializada).</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b w:val="false"/>
          <w:b w:val="false"/>
          <w:bCs w:val="false"/>
        </w:rPr>
      </w:pPr>
      <w:r>
        <w:rPr>
          <w:rFonts w:eastAsia="Times New Roman" w:cs="Segoe UI" w:ascii="Nimbus Roman No9 L" w:hAnsi="Nimbus Roman No9 L"/>
          <w:b w:val="false"/>
          <w:bCs w:val="false"/>
          <w:color w:val="00000A"/>
          <w:szCs w:val="24"/>
          <w:lang w:val="es-ES"/>
        </w:rPr>
        <w:t xml:space="preserve">En todo caso, los sucintos hechos expuestos son fruto de una entrevista de asilo que -en los términos que se ha realizado- no es un medio adecuado ni confiable para determinar la condición de refugiado con garantías mínimas, por lo que el procedimiento está viciado de origen.  </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b w:val="false"/>
          <w:b w:val="false"/>
          <w:bCs w:val="false"/>
          <w:color w:val="3333FF"/>
        </w:rPr>
      </w:pPr>
      <w:r>
        <w:rPr>
          <w:rFonts w:eastAsia="Times New Roman" w:cs="Segoe UI" w:ascii="Nimbus Roman No9 L" w:hAnsi="Nimbus Roman No9 L"/>
          <w:b w:val="false"/>
          <w:bCs w:val="false"/>
          <w:color w:val="3333FF"/>
          <w:szCs w:val="24"/>
          <w:lang w:val="es-ES"/>
        </w:rPr>
        <w:t xml:space="preserve">En este sentido, </w:t>
      </w:r>
      <w:r>
        <w:rPr>
          <w:rFonts w:eastAsia="Times New Roman" w:cs="Segoe UI" w:ascii="Nimbus Roman No9 L" w:hAnsi="Nimbus Roman No9 L"/>
          <w:b/>
          <w:bCs/>
          <w:color w:val="3333FF"/>
          <w:szCs w:val="24"/>
          <w:lang w:val="es-ES"/>
        </w:rPr>
        <w:t xml:space="preserve">no he podido realizar entrevista con un intérprete en mi lengua </w:t>
      </w:r>
      <w:r>
        <w:rPr>
          <w:rFonts w:eastAsia="Times New Roman" w:cs="Segoe UI" w:ascii="Nimbus Roman No9 L" w:hAnsi="Nimbus Roman No9 L"/>
          <w:b/>
          <w:bCs/>
          <w:color w:val="3333FF"/>
          <w:szCs w:val="24"/>
          <w:u w:val="single"/>
          <w:lang w:val="es-ES"/>
        </w:rPr>
        <w:t>natal</w:t>
      </w:r>
      <w:r>
        <w:rPr>
          <w:rFonts w:eastAsia="Times New Roman" w:cs="Segoe UI" w:ascii="Nimbus Roman No9 L" w:hAnsi="Nimbus Roman No9 L"/>
          <w:b w:val="false"/>
          <w:bCs w:val="false"/>
          <w:color w:val="3333FF"/>
          <w:szCs w:val="24"/>
          <w:lang w:val="es-ES"/>
        </w:rPr>
        <w:t>, por lo que el procedimiento es nulo y debe retrotraerse y celebrarse nueva entrevista en la que pueda explicar con detalle los hechos sucedidos y que motivan mi solicitud, resultando sólo por este motivo la resolución nula de pleno derecho. (sólo en caso de que así haya sucedido)</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b w:val="false"/>
          <w:b w:val="false"/>
          <w:bCs w:val="false"/>
        </w:rPr>
      </w:pPr>
      <w:r>
        <w:rPr>
          <w:rFonts w:eastAsia="Times New Roman" w:cs="Segoe UI" w:ascii="Nimbus Roman No9 L" w:hAnsi="Nimbus Roman No9 L"/>
          <w:b w:val="false"/>
          <w:bCs w:val="false"/>
          <w:color w:val="00000A"/>
          <w:szCs w:val="24"/>
          <w:lang w:val="es-ES"/>
        </w:rPr>
        <w:t>Por otro lado no se me ha dado traslado de la propuesta desfavorable de la Oficina de Asilo y Refugio para realizar alegaciones, por lo que se ha vulnerado el principio de  audiencia y contradicción.</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b w:val="false"/>
          <w:b w:val="false"/>
          <w:bCs w:val="false"/>
        </w:rPr>
      </w:pPr>
      <w:r>
        <w:rPr>
          <w:rFonts w:eastAsia="Times New Roman" w:cs="Segoe UI" w:ascii="Nimbus Roman No9 L" w:hAnsi="Nimbus Roman No9 L"/>
          <w:b w:val="false"/>
          <w:bCs w:val="false"/>
          <w:color w:val="00000A"/>
          <w:szCs w:val="24"/>
          <w:lang w:val="es-ES"/>
        </w:rPr>
        <w:t xml:space="preserve">Finalmente, </w:t>
      </w:r>
      <w:r>
        <w:rPr>
          <w:rFonts w:eastAsia="Times New Roman" w:cs="Segoe UI" w:ascii="Nimbus Roman No9 L" w:hAnsi="Nimbus Roman No9 L"/>
          <w:b/>
          <w:bCs/>
          <w:color w:val="00000A"/>
          <w:szCs w:val="24"/>
          <w:lang w:val="es-ES"/>
        </w:rPr>
        <w:t>no se ha valorado de forma individualizada el caso</w:t>
      </w:r>
      <w:r>
        <w:rPr>
          <w:rFonts w:eastAsia="Times New Roman" w:cs="Segoe UI" w:ascii="Nimbus Roman No9 L" w:hAnsi="Nimbus Roman No9 L"/>
          <w:b w:val="false"/>
          <w:bCs w:val="false"/>
          <w:color w:val="00000A"/>
          <w:szCs w:val="24"/>
          <w:lang w:val="es-ES"/>
        </w:rPr>
        <w:t xml:space="preserve"> acudiendo la resolución impugnada a una suerte de argumentos generales contestando mediante un formulario de respuesta tipo en relación (violencia e inseguridad, extorsiones, grupos armados, protección de las autoridades, etc.) , pero sin atenerse a la situación particular expuesta ni la situación real en el país, y por la cual tuve que huir no siendo posible que vuelva de ningún modo. </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b w:val="false"/>
          <w:b w:val="false"/>
          <w:bCs w:val="false"/>
        </w:rPr>
      </w:pPr>
      <w:r>
        <w:rPr>
          <w:rFonts w:eastAsia="Times New Roman" w:cs="Segoe UI" w:ascii="Nimbus Roman No9 L" w:hAnsi="Nimbus Roman No9 L"/>
          <w:b w:val="false"/>
          <w:bCs w:val="false"/>
          <w:color w:val="00000A"/>
          <w:szCs w:val="24"/>
          <w:lang w:val="es-ES"/>
        </w:rPr>
        <w:t xml:space="preserve">En todo caso, con este escrito se procede a </w:t>
      </w:r>
      <w:r>
        <w:rPr>
          <w:rFonts w:eastAsia="Times New Roman" w:cs="Segoe UI" w:ascii="Nimbus Roman No9 L" w:hAnsi="Nimbus Roman No9 L"/>
          <w:b/>
          <w:bCs/>
          <w:color w:val="00000A"/>
          <w:szCs w:val="24"/>
          <w:lang w:val="es-ES"/>
        </w:rPr>
        <w:t>ampliar los hechos y la documentación aportada</w:t>
      </w:r>
      <w:r>
        <w:rPr>
          <w:rFonts w:eastAsia="Times New Roman" w:cs="Segoe UI" w:ascii="Nimbus Roman No9 L" w:hAnsi="Nimbus Roman No9 L"/>
          <w:b w:val="false"/>
          <w:bCs w:val="false"/>
          <w:color w:val="00000A"/>
          <w:szCs w:val="24"/>
          <w:lang w:val="es-ES"/>
        </w:rPr>
        <w:t>, en concreto:</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b w:val="false"/>
          <w:b w:val="false"/>
          <w:bCs w:val="false"/>
          <w:color w:val="3333FF"/>
        </w:rPr>
      </w:pPr>
      <w:r>
        <w:rPr>
          <w:rFonts w:eastAsia="Times New Roman" w:cs="Segoe UI" w:ascii="Nimbus Roman No9 L" w:hAnsi="Nimbus Roman No9 L"/>
          <w:b w:val="false"/>
          <w:bCs w:val="false"/>
          <w:color w:val="3333FF"/>
          <w:szCs w:val="24"/>
          <w:lang w:val="es-ES"/>
        </w:rPr>
        <w:t>- Doc 1. Relato ampliado de los hechos que motivan la solicitud</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b w:val="false"/>
          <w:b w:val="false"/>
          <w:bCs w:val="false"/>
          <w:color w:val="3333FF"/>
        </w:rPr>
      </w:pPr>
      <w:r>
        <w:rPr>
          <w:rFonts w:eastAsia="Times New Roman" w:cs="Segoe UI" w:ascii="Nimbus Roman No9 L" w:hAnsi="Nimbus Roman No9 L"/>
          <w:b w:val="false"/>
          <w:bCs w:val="false"/>
          <w:color w:val="3333FF"/>
          <w:szCs w:val="24"/>
          <w:lang w:val="es-ES"/>
        </w:rPr>
        <w:t>- Doc 2. Documentos que acreditan los hechos relatados (documentos privados y públicos, testimonios, fotos, vídeos, pantallos de internet, etc.)</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b w:val="false"/>
          <w:b w:val="false"/>
          <w:bCs w:val="false"/>
          <w:color w:val="3333FF"/>
        </w:rPr>
      </w:pPr>
      <w:r>
        <w:rPr>
          <w:rFonts w:eastAsia="Times New Roman" w:cs="Segoe UI" w:ascii="Nimbus Roman No9 L" w:hAnsi="Nimbus Roman No9 L"/>
          <w:b w:val="false"/>
          <w:bCs w:val="false"/>
          <w:color w:val="3333FF"/>
          <w:szCs w:val="24"/>
          <w:lang w:val="es-ES"/>
        </w:rPr>
        <w:t>- Doc 3. Documentos sobre la situación de país (enlaces a noticias, informes de organizaciones internacionales)</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b w:val="false"/>
          <w:b w:val="false"/>
          <w:bCs w:val="false"/>
          <w:color w:val="3333FF"/>
        </w:rPr>
      </w:pPr>
      <w:r>
        <w:rPr>
          <w:rFonts w:eastAsia="Times New Roman" w:cs="Segoe UI" w:ascii="Nimbus Roman No9 L" w:hAnsi="Nimbus Roman No9 L"/>
          <w:b w:val="false"/>
          <w:bCs w:val="false"/>
          <w:color w:val="3333FF"/>
          <w:szCs w:val="24"/>
          <w:lang w:val="es-ES"/>
        </w:rPr>
        <w:t>- Doc 4. Informes médicos, psicológicos, psicosociales, etc. que acreditan la situación personal de vulnerabilidad</w:t>
      </w:r>
    </w:p>
    <w:p>
      <w:pPr>
        <w:pStyle w:val="Normal"/>
        <w:jc w:val="both"/>
        <w:rPr>
          <w:b w:val="false"/>
          <w:b w:val="false"/>
          <w:bCs w:val="false"/>
          <w:color w:val="3333FF"/>
        </w:rPr>
      </w:pPr>
      <w:r>
        <w:rPr>
          <w:rFonts w:eastAsia="Times New Roman" w:cs="Segoe UI" w:ascii="Nimbus Roman No9 L" w:hAnsi="Nimbus Roman No9 L"/>
          <w:b w:val="false"/>
          <w:bCs w:val="false"/>
          <w:color w:val="3333FF"/>
          <w:szCs w:val="24"/>
          <w:lang w:val="es-ES"/>
        </w:rPr>
        <w:t>- etc.</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rFonts w:ascii="Nimbus Roman No9 L" w:hAnsi="Nimbus Roman No9 L" w:eastAsia="Times New Roman" w:cs="Segoe UI"/>
          <w:b/>
          <w:b/>
          <w:color w:val="00000A"/>
          <w:szCs w:val="24"/>
          <w:lang w:val="es-ES"/>
        </w:rPr>
      </w:pPr>
      <w:r>
        <w:rPr>
          <w:rFonts w:eastAsia="Times New Roman" w:cs="Segoe UI" w:ascii="Nimbus Roman No9 L" w:hAnsi="Nimbus Roman No9 L"/>
          <w:b/>
          <w:color w:val="00000A"/>
          <w:szCs w:val="24"/>
          <w:lang w:val="es-ES"/>
        </w:rPr>
      </w:r>
    </w:p>
    <w:p>
      <w:pPr>
        <w:pStyle w:val="Normal"/>
        <w:jc w:val="both"/>
        <w:rPr/>
      </w:pPr>
      <w:r>
        <w:rPr>
          <w:rFonts w:eastAsia="Times New Roman" w:cs="Segoe UI" w:ascii="Nimbus Roman No9 L" w:hAnsi="Nimbus Roman No9 L"/>
          <w:b/>
          <w:color w:val="00000A"/>
          <w:szCs w:val="24"/>
          <w:lang w:val="es-ES"/>
        </w:rPr>
        <w:t>SEGUNDO</w:t>
      </w:r>
      <w:r>
        <w:rPr>
          <w:rFonts w:cs="Segoe UI" w:ascii="Nimbus Roman No9 L" w:hAnsi="Nimbus Roman No9 L"/>
          <w:b/>
          <w:color w:val="00000A"/>
          <w:szCs w:val="24"/>
          <w:lang w:val="es-ES"/>
        </w:rPr>
        <w:t xml:space="preserve">.- </w:t>
      </w:r>
      <w:r>
        <w:rPr>
          <w:rFonts w:eastAsia="Times New Roman" w:cs="Segoe UI" w:ascii="Nimbus Roman No9 L" w:hAnsi="Nimbus Roman No9 L"/>
          <w:b/>
          <w:color w:val="00000A"/>
          <w:szCs w:val="24"/>
          <w:lang w:val="es-ES"/>
        </w:rPr>
        <w:t xml:space="preserve">Sobre los motivos para la denegación de la protección internacional </w:t>
      </w:r>
    </w:p>
    <w:p>
      <w:pPr>
        <w:pStyle w:val="Normal"/>
        <w:jc w:val="both"/>
        <w:rPr>
          <w:rFonts w:ascii="Nimbus Roman No9 L" w:hAnsi="Nimbus Roman No9 L" w:eastAsia="Times New Roman" w:cs="Segoe UI"/>
          <w:b/>
          <w:b/>
          <w:color w:val="00000A"/>
          <w:szCs w:val="24"/>
          <w:lang w:val="es-ES"/>
        </w:rPr>
      </w:pPr>
      <w:r>
        <w:rPr>
          <w:rFonts w:eastAsia="Times New Roman" w:cs="Segoe UI" w:ascii="Nimbus Roman No9 L" w:hAnsi="Nimbus Roman No9 L"/>
          <w:b/>
          <w:color w:val="00000A"/>
          <w:szCs w:val="24"/>
          <w:lang w:val="es-ES"/>
        </w:rPr>
      </w:r>
    </w:p>
    <w:p>
      <w:pPr>
        <w:pStyle w:val="Normal"/>
        <w:jc w:val="both"/>
        <w:rPr/>
      </w:pPr>
      <w:r>
        <w:rPr>
          <w:rFonts w:eastAsia="Times New Roman" w:cs="Segoe UI" w:ascii="Nimbus Roman No9 L" w:hAnsi="Nimbus Roman No9 L"/>
          <w:color w:val="00000A"/>
          <w:szCs w:val="24"/>
          <w:lang w:val="es-ES"/>
        </w:rPr>
        <w:t xml:space="preserve">Estoy en total desacuerdo con cada uno de los puntos expuestos sobre el no cumplimiento de los requisitos para el reconocimiento de la condición de refugiado. </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rFonts w:ascii="Nimbus Roman No9 L" w:hAnsi="Nimbus Roman No9 L" w:eastAsia="Times New Roman" w:cs="Segoe UI"/>
          <w:color w:val="3333FF"/>
          <w:sz w:val="24"/>
          <w:szCs w:val="24"/>
          <w:lang w:val="es-ES" w:eastAsia="es-ES"/>
        </w:rPr>
      </w:pPr>
      <w:r>
        <w:rPr>
          <w:rFonts w:eastAsia="Times New Roman" w:cs="Segoe UI" w:ascii="Nimbus Roman No9 L" w:hAnsi="Nimbus Roman No9 L"/>
          <w:color w:val="3333FF"/>
          <w:sz w:val="24"/>
          <w:szCs w:val="24"/>
          <w:lang w:val="es-ES" w:eastAsia="es-ES"/>
        </w:rPr>
        <w:t>Ver requisitos:</w:t>
      </w:r>
    </w:p>
    <w:p>
      <w:pPr>
        <w:pStyle w:val="Normal"/>
        <w:jc w:val="both"/>
        <w:rPr/>
      </w:pPr>
      <w:hyperlink r:id="rId3">
        <w:r>
          <w:rPr>
            <w:rStyle w:val="EnlacedeInternet"/>
            <w:rFonts w:eastAsia="Times New Roman" w:cs="Segoe UI" w:ascii="Nimbus Roman No9 L" w:hAnsi="Nimbus Roman No9 L"/>
            <w:color w:val="3333FF"/>
            <w:sz w:val="24"/>
            <w:szCs w:val="24"/>
            <w:lang w:val="es-ES" w:eastAsia="es-ES"/>
          </w:rPr>
          <w:t>https://acogidasalamanca.wordpress.com/requisitos-proteccion-internacional/</w:t>
        </w:r>
      </w:hyperlink>
    </w:p>
    <w:p>
      <w:pPr>
        <w:pStyle w:val="Normal"/>
        <w:jc w:val="both"/>
        <w:rPr>
          <w:rFonts w:ascii="Nimbus Roman No9 L" w:hAnsi="Nimbus Roman No9 L" w:eastAsia="Times New Roman" w:cs="Segoe UI"/>
          <w:color w:val="3333FF"/>
          <w:sz w:val="24"/>
          <w:szCs w:val="24"/>
          <w:lang w:val="es-ES" w:eastAsia="es-ES"/>
        </w:rPr>
      </w:pPr>
      <w:r>
        <w:rPr>
          <w:rFonts w:eastAsia="Times New Roman" w:cs="Segoe UI" w:ascii="Nimbus Roman No9 L" w:hAnsi="Nimbus Roman No9 L"/>
          <w:color w:val="3333FF"/>
          <w:sz w:val="24"/>
          <w:szCs w:val="24"/>
          <w:lang w:val="es-ES" w:eastAsia="es-ES"/>
        </w:rPr>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pPr>
      <w:r>
        <w:rPr>
          <w:rFonts w:eastAsia="Times New Roman" w:cs="Segoe UI" w:ascii="Nimbus Roman No9 L" w:hAnsi="Nimbus Roman No9 L"/>
          <w:color w:val="00000A"/>
          <w:szCs w:val="24"/>
          <w:lang w:val="es-ES"/>
        </w:rPr>
        <w:t>En concreto:</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color w:val="3333FF"/>
        </w:rPr>
      </w:pPr>
      <w:r>
        <w:rPr>
          <w:rFonts w:eastAsia="Times New Roman" w:cs="Segoe UI" w:ascii="Nimbus Roman No9 L" w:hAnsi="Nimbus Roman No9 L"/>
          <w:color w:val="3333FF"/>
          <w:szCs w:val="24"/>
          <w:lang w:val="es-ES"/>
        </w:rPr>
        <w:t>- Temores (situación personal de miedo a volver) por situación del país de origen fundada (conflictos, violencia, persecución, corrupción, prisión, etc.).</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color w:val="3333FF"/>
        </w:rPr>
      </w:pPr>
      <w:r>
        <w:rPr>
          <w:rFonts w:eastAsia="Times New Roman" w:cs="Segoe UI" w:ascii="Nimbus Roman No9 L" w:hAnsi="Nimbus Roman No9 L"/>
          <w:color w:val="3333FF"/>
          <w:szCs w:val="24"/>
          <w:lang w:val="es-ES"/>
        </w:rPr>
        <w:t xml:space="preserve">- Motivos de la persecución: políticos, religiosos, étnicos, nacionalidad, orientación sexual, género o </w:t>
      </w:r>
      <w:r>
        <w:rPr>
          <w:rFonts w:eastAsia="Times New Roman" w:cs="Segoe UI" w:ascii="Nimbus Roman No9 L" w:hAnsi="Nimbus Roman No9 L"/>
          <w:color w:val="3333FF"/>
          <w:szCs w:val="24"/>
          <w:u w:val="single"/>
          <w:lang w:val="es-ES"/>
        </w:rPr>
        <w:t>pertenencia a un grupo social determinado</w:t>
      </w:r>
      <w:r>
        <w:rPr>
          <w:rFonts w:eastAsia="Times New Roman" w:cs="Segoe UI" w:ascii="Nimbus Roman No9 L" w:hAnsi="Nimbus Roman No9 L"/>
          <w:color w:val="3333FF"/>
          <w:szCs w:val="24"/>
          <w:lang w:val="es-ES"/>
        </w:rPr>
        <w:t xml:space="preserve"> según Directrices de la ACNUR</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color w:val="3333FF"/>
        </w:rPr>
      </w:pPr>
      <w:r>
        <w:rPr>
          <w:rFonts w:eastAsia="Times New Roman" w:cs="Segoe UI" w:ascii="Nimbus Roman No9 L" w:hAnsi="Nimbus Roman No9 L"/>
          <w:color w:val="3333FF"/>
          <w:szCs w:val="24"/>
          <w:lang w:val="es-ES"/>
        </w:rPr>
        <w:t>- Actos de persecución  o derechos humanos que se vulnerarían en caso de devolución</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color w:val="3333FF"/>
        </w:rPr>
      </w:pPr>
      <w:r>
        <w:rPr>
          <w:rFonts w:eastAsia="Times New Roman" w:cs="Segoe UI" w:ascii="Nimbus Roman No9 L" w:hAnsi="Nimbus Roman No9 L"/>
          <w:color w:val="3333FF"/>
          <w:szCs w:val="24"/>
          <w:lang w:val="es-ES"/>
        </w:rPr>
        <w:t>- Actores de persecución (Estado o actores no estatales frente a los cuales el Estado no otorga protección efectiva). Denuncias realizadas e inactividad de las autoridades.</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color w:val="3333FF"/>
        </w:rPr>
      </w:pPr>
      <w:r>
        <w:rPr>
          <w:rFonts w:eastAsia="Times New Roman" w:cs="Segoe UI" w:ascii="Nimbus Roman No9 L" w:hAnsi="Nimbus Roman No9 L"/>
          <w:color w:val="3333FF"/>
          <w:szCs w:val="24"/>
          <w:lang w:val="es-ES"/>
        </w:rPr>
        <w:t>- Dificultades razonables para optar preferiblemente por la salida del país y no el desplazamiento interno. En caso de desplazamiento relato detallado de los mismos.</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rFonts w:ascii="Nimbus Roman No9 L" w:hAnsi="Nimbus Roman No9 L" w:eastAsia="Times New Roman" w:cs="Segoe UI"/>
          <w:color w:val="3333FF"/>
          <w:szCs w:val="24"/>
          <w:lang w:val="es-ES"/>
        </w:rPr>
      </w:pPr>
      <w:r>
        <w:rPr>
          <w:rFonts w:eastAsia="Times New Roman" w:cs="Segoe UI" w:ascii="Nimbus Roman No9 L" w:hAnsi="Nimbus Roman No9 L"/>
          <w:color w:val="3333FF"/>
          <w:szCs w:val="24"/>
          <w:lang w:val="es-ES"/>
        </w:rPr>
        <w:t>Se adjunta relato de ampliación de hechos como Doc nº1 y documentos acreditativos de los mismos, como Doc nº2, etc.</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pPr>
      <w:r>
        <w:rPr>
          <w:rFonts w:eastAsia="Times New Roman" w:cs="Segoe UI" w:ascii="Nimbus Roman No9 L" w:hAnsi="Nimbus Roman No9 L"/>
          <w:color w:val="00000A"/>
          <w:szCs w:val="24"/>
          <w:lang w:val="es-ES"/>
        </w:rPr>
        <w:t xml:space="preserve">En segundo lugar, </w:t>
      </w:r>
      <w:r>
        <w:rPr>
          <w:rFonts w:eastAsia="Times New Roman" w:cs="Segoe UI" w:ascii="Nimbus Roman No9 L" w:hAnsi="Nimbus Roman No9 L"/>
          <w:b/>
          <w:bCs/>
          <w:color w:val="00000A"/>
          <w:szCs w:val="24"/>
          <w:lang w:val="es-ES"/>
        </w:rPr>
        <w:t xml:space="preserve">tampoco se ha valorado adecuadamente la situación actual en </w:t>
      </w:r>
      <w:r>
        <w:rPr>
          <w:rFonts w:eastAsia="Times New Roman" w:cs="Segoe UI" w:ascii="Nimbus Roman No9 L" w:hAnsi="Nimbus Roman No9 L"/>
          <w:b/>
          <w:bCs/>
          <w:color w:val="3333FF"/>
          <w:szCs w:val="24"/>
          <w:lang w:val="es-ES"/>
        </w:rPr>
        <w:t>XXXXXX</w:t>
      </w:r>
      <w:r>
        <w:rPr>
          <w:rFonts w:eastAsia="Times New Roman" w:cs="Segoe UI" w:ascii="Nimbus Roman No9 L" w:hAnsi="Nimbus Roman No9 L"/>
          <w:b/>
          <w:bCs/>
          <w:color w:val="00000A"/>
          <w:szCs w:val="24"/>
          <w:lang w:val="es-ES"/>
        </w:rPr>
        <w:t xml:space="preserve"> de desprotección efectiva de las personas con riesgo elevado a sufrir daños graves</w:t>
      </w:r>
      <w:r>
        <w:rPr>
          <w:rFonts w:eastAsia="Times New Roman" w:cs="Segoe UI" w:ascii="Nimbus Roman No9 L" w:hAnsi="Nimbus Roman No9 L"/>
          <w:color w:val="00000A"/>
          <w:szCs w:val="24"/>
          <w:lang w:val="es-ES"/>
        </w:rPr>
        <w:t xml:space="preserve"> y que se produce a lo largo y ancho del país, siendo habitual que los grupos armados actúen en todo el territorio por lo que no es posible el desplazamiento interno sin que sea identificado y sometido a represalias. Por ello, cabría otorgar la protección subsidiaria, la cual se ha rechazado, argumentando que el conflicto no está extendiendo a todo el país. No obstante, ni es necesario que lo esté para la concesión de esta protección, ni tampoco se ha valorado el riesgo a sufrir trato degradante en caso de devolución, ni la situación de violencia indiscriminada contra la población civil y, en particular, para colectivos determinados como el que pertenezco y razón de mi persecución.</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color w:val="3333FF"/>
        </w:rPr>
      </w:pPr>
      <w:r>
        <w:rPr>
          <w:rFonts w:eastAsia="Times New Roman" w:cs="Segoe UI" w:ascii="Nimbus Roman No9 L" w:hAnsi="Nimbus Roman No9 L"/>
          <w:color w:val="3333FF"/>
          <w:szCs w:val="24"/>
          <w:lang w:val="es-ES"/>
        </w:rPr>
        <w:t>Se adjunta documentación de la situación del país como Doc nºx</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pPr>
      <w:r>
        <w:rPr>
          <w:rFonts w:eastAsia="Times New Roman" w:cs="Segoe UI" w:ascii="Nimbus Roman No9 L" w:hAnsi="Nimbus Roman No9 L"/>
          <w:color w:val="00000A"/>
          <w:szCs w:val="24"/>
          <w:lang w:val="es-ES"/>
        </w:rPr>
        <w:t xml:space="preserve">Finalmente, </w:t>
      </w:r>
      <w:r>
        <w:rPr>
          <w:rFonts w:eastAsia="Times New Roman" w:cs="Segoe UI" w:ascii="Nimbus Roman No9 L" w:hAnsi="Nimbus Roman No9 L"/>
          <w:b/>
          <w:bCs/>
          <w:color w:val="00000A"/>
          <w:szCs w:val="24"/>
          <w:lang w:val="es-ES"/>
        </w:rPr>
        <w:t>no se ha valorado ni pronunciado sobre la concesión de autorización de residencia por razones humanitarias de carácter internacional</w:t>
      </w:r>
      <w:r>
        <w:rPr>
          <w:rFonts w:eastAsia="Times New Roman" w:cs="Segoe UI" w:ascii="Nimbus Roman No9 L" w:hAnsi="Nimbus Roman No9 L"/>
          <w:color w:val="00000A"/>
          <w:szCs w:val="24"/>
          <w:lang w:val="es-ES"/>
        </w:rPr>
        <w:t>, protección que sí se viene otorgando, incluso de forma no individualizada, a personas de otras nacionalidades, como es el caso de Venezuela, basándose en la situación de crisis humanitaria y dificultades de acceso de derechos y servicios públicos esenciales, por motivos de características personales de vulnerabilidad, como la carencia de redes sociales y familiaes en el país de origen, haber sufrido violencia física, sexual o torturas, ser una persona de edad avanzada, mujer sola, persona con discapacidad, enfermedad grave, familia monoparental, menor de edad, etc., etc.</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color w:val="3333FF"/>
        </w:rPr>
      </w:pPr>
      <w:r>
        <w:rPr>
          <w:rFonts w:eastAsia="Times New Roman" w:cs="Segoe UI" w:ascii="Nimbus Roman No9 L" w:hAnsi="Nimbus Roman No9 L"/>
          <w:color w:val="3333FF"/>
          <w:szCs w:val="24"/>
          <w:lang w:val="es-ES"/>
        </w:rPr>
        <w:t>Así, en este caso, constan los siguientes elementos de vulnerabilidad…. (en su caso)</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Normal"/>
        <w:jc w:val="both"/>
        <w:rPr>
          <w:color w:val="3333FF"/>
        </w:rPr>
      </w:pPr>
      <w:r>
        <w:rPr>
          <w:rFonts w:eastAsia="Times New Roman" w:cs="Segoe UI" w:ascii="Nimbus Roman No9 L" w:hAnsi="Nimbus Roman No9 L"/>
          <w:color w:val="3333FF"/>
          <w:szCs w:val="24"/>
          <w:lang w:val="es-ES"/>
        </w:rPr>
        <w:t>Se adjuntan documentos e informes que acreditan la situación de vulnerabilidad que aconsejaría la concesión de protección internacional por razones humanitarias.</w:t>
      </w:r>
    </w:p>
    <w:p>
      <w:pPr>
        <w:pStyle w:val="Normal"/>
        <w:jc w:val="both"/>
        <w:rPr>
          <w:rFonts w:ascii="Nimbus Roman No9 L" w:hAnsi="Nimbus Roman No9 L" w:eastAsia="Times New Roman" w:cs="Segoe UI"/>
          <w:color w:val="00000A"/>
          <w:szCs w:val="24"/>
          <w:lang w:val="es-ES"/>
        </w:rPr>
      </w:pPr>
      <w:r>
        <w:rPr>
          <w:rFonts w:eastAsia="Times New Roman" w:cs="Segoe UI" w:ascii="Nimbus Roman No9 L" w:hAnsi="Nimbus Roman No9 L"/>
          <w:color w:val="00000A"/>
          <w:szCs w:val="24"/>
          <w:lang w:val="es-ES"/>
        </w:rPr>
      </w:r>
    </w:p>
    <w:p>
      <w:pPr>
        <w:pStyle w:val="Default"/>
        <w:jc w:val="both"/>
        <w:rPr/>
      </w:pPr>
      <w:r>
        <w:rPr>
          <w:rFonts w:cs="Segoe UI" w:ascii="Nimbus Roman No9 L" w:hAnsi="Nimbus Roman No9 L"/>
          <w:b/>
          <w:color w:val="000000"/>
        </w:rPr>
        <w:t>TERCERO.-  Solicitud de medida cautelar de suspensión de los efectos de la resolución denegatoria de la protección internacional</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color w:val="000000"/>
        </w:rPr>
      </w:pPr>
      <w:r>
        <w:rPr>
          <w:rFonts w:eastAsia="Times New Roman" w:cs="Segoe UI" w:ascii="Nimbus Roman No9 L" w:hAnsi="Nimbus Roman No9 L"/>
          <w:color w:val="000000"/>
          <w:szCs w:val="24"/>
          <w:lang w:val="es-ES"/>
        </w:rPr>
        <w:t xml:space="preserve">La resolución impugnada y al no reconocer la necesidad de protección internacional, tiene como efecto la devolución al país de origen y supone en sí misma una </w:t>
      </w:r>
      <w:r>
        <w:rPr>
          <w:rFonts w:eastAsia="Times New Roman" w:cs="Segoe UI" w:ascii="Nimbus Roman No9 L" w:hAnsi="Nimbus Roman No9 L"/>
          <w:b/>
          <w:bCs/>
          <w:color w:val="000000"/>
          <w:szCs w:val="24"/>
          <w:lang w:val="es-ES"/>
        </w:rPr>
        <w:t>vulneración de derechos fundamentales</w:t>
      </w:r>
      <w:r>
        <w:rPr>
          <w:rFonts w:eastAsia="Times New Roman" w:cs="Segoe UI" w:ascii="Nimbus Roman No9 L" w:hAnsi="Nimbus Roman No9 L"/>
          <w:color w:val="000000"/>
          <w:szCs w:val="24"/>
          <w:lang w:val="es-ES"/>
        </w:rPr>
        <w:t>, en el sentido apuntado en el art. 10 de la Ley de Asilo y en art. 15 de la Directiva 2004/83/CE de Reconocimiento, la cual conecta de forma con el art. 19 de la Carta de Derechos Fundamentales de la UE que establece la prohibición de devolución, expulsión o extradición de quien “corra un grave riesgo de ser sometido a la pena de muerte, a tortura o a otras penas o tratos inhumanos o degradantes”, o el art. 3 del Convenio Europeo de Derechos Humanos (CEDH), que también se refiere a la prohibición de torturas, penas o trato inhumano o degradante, entre otros convenios internacionales.</w:t>
      </w:r>
    </w:p>
    <w:p>
      <w:pPr>
        <w:pStyle w:val="Normal"/>
        <w:jc w:val="both"/>
        <w:rPr>
          <w:rFonts w:ascii="Nimbus Roman No9 L" w:hAnsi="Nimbus Roman No9 L" w:eastAsia="Times New Roman" w:cs="Segoe UI"/>
          <w:szCs w:val="24"/>
          <w:lang w:val="es-ES"/>
        </w:rPr>
      </w:pPr>
      <w:r>
        <w:rPr>
          <w:rFonts w:eastAsia="Times New Roman" w:cs="Segoe UI" w:ascii="Nimbus Roman No9 L" w:hAnsi="Nimbus Roman No9 L"/>
          <w:szCs w:val="24"/>
          <w:lang w:val="es-ES"/>
        </w:rPr>
      </w:r>
    </w:p>
    <w:p>
      <w:pPr>
        <w:pStyle w:val="Normal"/>
        <w:jc w:val="both"/>
        <w:rPr>
          <w:color w:val="000000"/>
        </w:rPr>
      </w:pPr>
      <w:r>
        <w:rPr>
          <w:rFonts w:eastAsia="Times New Roman" w:cs="Segoe UI" w:ascii="Nimbus Roman No9 L" w:hAnsi="Nimbus Roman No9 L"/>
          <w:color w:val="000000"/>
          <w:szCs w:val="24"/>
          <w:lang w:val="es-ES"/>
        </w:rPr>
        <w:t>No obstante, los efectos de la resolución recogidos en el art. 37 de la Ley de Asilo son susceptibles de ser suspendidos cautelarmente hasta la resolución del recurso interpuesto, todo ello conforme a lo establecido en el artículo 117 de la Ley 39/2015 de 1 de Octubre, de Procedimiento Administrativo Común y Régimen de las administraciones públicas, manteniendo la condición de solicitante de protección internacional, a todos los efectos y conforme al art. 2 de la Directiva 2013/33/UE del Parlamento Europeo y del Consejo, de 26 de junio,  por la que se aprueban normas para la acogida de los solicitantes de protección internacional, en el que se define al “</w:t>
      </w:r>
      <w:r>
        <w:rPr>
          <w:rFonts w:eastAsia="Times New Roman" w:cs="Segoe UI" w:ascii="Nimbus Roman No9 L" w:hAnsi="Nimbus Roman No9 L"/>
          <w:i/>
          <w:color w:val="000000"/>
          <w:szCs w:val="24"/>
          <w:lang w:val="es-ES"/>
        </w:rPr>
        <w:t>solicitante</w:t>
      </w:r>
      <w:r>
        <w:rPr>
          <w:rFonts w:eastAsia="Times New Roman" w:cs="Segoe UI" w:ascii="Nimbus Roman No9 L" w:hAnsi="Nimbus Roman No9 L"/>
          <w:color w:val="000000"/>
          <w:szCs w:val="24"/>
          <w:lang w:val="es-ES"/>
        </w:rPr>
        <w:t>” como la persona “</w:t>
      </w:r>
      <w:r>
        <w:rPr>
          <w:rFonts w:eastAsia="Times New Roman" w:cs="Segoe UI" w:ascii="Nimbus Roman No9 L" w:hAnsi="Nimbus Roman No9 L"/>
          <w:i/>
          <w:color w:val="000000"/>
          <w:szCs w:val="24"/>
          <w:lang w:val="es-ES"/>
        </w:rPr>
        <w:t>nacional de un tercer país o apátrida que haya formulado una solicitud de protección internacional sobre la cual todavía no se haya dictado una resolución definitiva</w:t>
      </w:r>
      <w:r>
        <w:rPr>
          <w:rFonts w:eastAsia="Times New Roman" w:cs="Segoe UI" w:ascii="Nimbus Roman No9 L" w:hAnsi="Nimbus Roman No9 L"/>
          <w:color w:val="000000"/>
          <w:szCs w:val="24"/>
          <w:lang w:val="es-ES"/>
        </w:rPr>
        <w:t>”, por lo que deben mantenerse, a priori, y durante este período los derechos derivados en la Directiva, cuestión ratificada por la STJUE 181-2016 de 19 de junio de 2018.</w:t>
      </w:r>
    </w:p>
    <w:p>
      <w:pPr>
        <w:pStyle w:val="Normal"/>
        <w:jc w:val="both"/>
        <w:rPr>
          <w:rFonts w:ascii="Nimbus Roman No9 L" w:hAnsi="Nimbus Roman No9 L" w:eastAsia="Times New Roman" w:cs="Segoe UI"/>
          <w:color w:val="000000"/>
          <w:szCs w:val="24"/>
          <w:lang w:val="es-ES"/>
        </w:rPr>
      </w:pPr>
      <w:r>
        <w:rPr>
          <w:rFonts w:eastAsia="Times New Roman" w:cs="Segoe UI" w:ascii="Nimbus Roman No9 L" w:hAnsi="Nimbus Roman No9 L"/>
          <w:color w:val="000000"/>
          <w:szCs w:val="24"/>
          <w:lang w:val="es-ES"/>
        </w:rPr>
      </w:r>
    </w:p>
    <w:p>
      <w:pPr>
        <w:pStyle w:val="Normal"/>
        <w:jc w:val="both"/>
        <w:rPr/>
      </w:pPr>
      <w:r>
        <w:rPr>
          <w:rFonts w:eastAsia="Times New Roman" w:cs="Segoe UI" w:ascii="Nimbus Roman No9 L" w:hAnsi="Nimbus Roman No9 L"/>
          <w:color w:val="000000"/>
          <w:szCs w:val="24"/>
          <w:lang w:val="es-ES"/>
        </w:rPr>
        <w:t xml:space="preserve">En este sentido, una vez solicitada la suspensión, el Estado está obligado a acordarla o reconocerla de forma automática, conforme el </w:t>
      </w:r>
      <w:r>
        <w:rPr>
          <w:rFonts w:eastAsia="Times New Roman" w:cs="Segoe UI" w:ascii="Nimbus Roman No9 L" w:hAnsi="Nimbus Roman No9 L"/>
          <w:b/>
          <w:bCs/>
          <w:color w:val="000000"/>
          <w:szCs w:val="24"/>
          <w:lang w:val="es-ES"/>
        </w:rPr>
        <w:t>art. 46.5 de la Directiva 2013/32/UE del Parlamento Europeo y del Consejo, de 26 de junio de 2013</w:t>
      </w:r>
      <w:r>
        <w:rPr>
          <w:rFonts w:eastAsia="Times New Roman" w:cs="Segoe UI" w:ascii="Nimbus Roman No9 L" w:hAnsi="Nimbus Roman No9 L"/>
          <w:color w:val="000000"/>
          <w:szCs w:val="24"/>
          <w:lang w:val="es-ES"/>
        </w:rPr>
        <w:t>, sobre procedimientos comunes para la concesión o la retirada de la protección internacional que establece  que “</w:t>
      </w:r>
      <w:r>
        <w:rPr>
          <w:rFonts w:eastAsia="Times New Roman" w:cs="Segoe UI" w:ascii="Nimbus Roman No9 L" w:hAnsi="Nimbus Roman No9 L"/>
          <w:i/>
          <w:color w:val="000000"/>
          <w:szCs w:val="24"/>
          <w:lang w:val="es-ES"/>
        </w:rPr>
        <w:t>los Estados miembros permitirán que los solicitantes permanezcan en el territorio hasta que haya expirado el plazo dentro del cual pueden ejercer su derecho a un recurso efectivo y, cuando se haya ejercitado ese derecho dentro del plazo, en espera del resultado del recurs</w:t>
      </w:r>
      <w:r>
        <w:rPr>
          <w:rFonts w:eastAsia="Times New Roman" w:cs="Segoe UI" w:ascii="Nimbus Roman No9 L" w:hAnsi="Nimbus Roman No9 L"/>
          <w:color w:val="000000"/>
          <w:szCs w:val="24"/>
          <w:lang w:val="es-ES"/>
        </w:rPr>
        <w:t>o”.</w:t>
      </w:r>
    </w:p>
    <w:p>
      <w:pPr>
        <w:pStyle w:val="Normal"/>
        <w:jc w:val="both"/>
        <w:rPr>
          <w:rFonts w:ascii="Nimbus Roman No9 L" w:hAnsi="Nimbus Roman No9 L" w:eastAsia="Times New Roman" w:cs="Segoe UI"/>
          <w:color w:val="000000"/>
          <w:szCs w:val="24"/>
          <w:lang w:val="es-ES"/>
        </w:rPr>
      </w:pPr>
      <w:r>
        <w:rPr/>
      </w:r>
    </w:p>
    <w:p>
      <w:pPr>
        <w:pStyle w:val="Normal"/>
        <w:jc w:val="both"/>
        <w:rPr/>
      </w:pPr>
      <w:r>
        <w:rPr>
          <w:rFonts w:eastAsia="Times New Roman" w:cs="Segoe UI" w:ascii="Nimbus Roman No9 L" w:hAnsi="Nimbus Roman No9 L"/>
          <w:color w:val="000000"/>
          <w:szCs w:val="24"/>
          <w:lang w:val="es-ES"/>
        </w:rPr>
        <w:t xml:space="preserve">Derecho a permanecer en el territorio que forma parte del acervo jurisprudencial, como recuerda </w:t>
      </w:r>
      <w:r>
        <w:rPr>
          <w:rFonts w:eastAsia="Times New Roman" w:cs="Segoe UI" w:ascii="Nimbus Roman No9 L" w:hAnsi="Nimbus Roman No9 L"/>
          <w:color w:val="000000"/>
          <w:szCs w:val="24"/>
          <w:lang w:val="es-ES"/>
        </w:rPr>
        <w:t xml:space="preserve">la STJUE de 26 de septiembre de 2018, asunto C-175/17, </w:t>
      </w:r>
      <w:r>
        <w:rPr>
          <w:rFonts w:eastAsia="Times New Roman" w:cs="Segoe UI" w:ascii="Nimbus Roman No9 L" w:hAnsi="Nimbus Roman No9 L"/>
          <w:color w:val="000000"/>
          <w:szCs w:val="24"/>
          <w:lang w:val="es-ES"/>
        </w:rPr>
        <w:t>ya</w:t>
      </w:r>
      <w:r>
        <w:rPr>
          <w:rFonts w:eastAsia="Times New Roman" w:cs="Segoe UI" w:ascii="Nimbus Roman No9 L" w:hAnsi="Nimbus Roman No9 L"/>
          <w:color w:val="000000"/>
          <w:szCs w:val="24"/>
          <w:lang w:val="es-ES"/>
        </w:rPr>
        <w:t xml:space="preserve"> que “</w:t>
      </w:r>
      <w:r>
        <w:rPr>
          <w:rFonts w:eastAsia="Times New Roman" w:cs="Segoe UI" w:ascii="Nimbus Roman No9 L" w:hAnsi="Nimbus Roman No9 L"/>
          <w:i/>
          <w:color w:val="000000"/>
          <w:szCs w:val="24"/>
          <w:lang w:val="es-ES"/>
        </w:rPr>
        <w:t xml:space="preserve">incumbe a los Estados miembros garantizar la plena eficacia del recurso contra la decisión denegatoria de la solicitud de protección internacional </w:t>
      </w:r>
      <w:r>
        <w:rPr>
          <w:rFonts w:eastAsia="Times New Roman" w:cs="Segoe UI" w:ascii="Nimbus Roman No9 L" w:hAnsi="Nimbus Roman No9 L"/>
          <w:b/>
          <w:bCs/>
          <w:i/>
          <w:color w:val="000000"/>
          <w:szCs w:val="24"/>
          <w:lang w:val="es-ES"/>
        </w:rPr>
        <w:t>suspendiendo todos los efectos de la decisión de retorno</w:t>
      </w:r>
      <w:r>
        <w:rPr>
          <w:rFonts w:eastAsia="Times New Roman" w:cs="Segoe UI" w:ascii="Nimbus Roman No9 L" w:hAnsi="Nimbus Roman No9 L"/>
          <w:i/>
          <w:color w:val="000000"/>
          <w:szCs w:val="24"/>
          <w:lang w:val="es-ES"/>
        </w:rPr>
        <w:t xml:space="preserve"> durante el plazo previsto para la interposición de dicho recurso y, en caso de que este se interponga, hasta su resolución</w:t>
      </w:r>
      <w:r>
        <w:rPr>
          <w:rFonts w:eastAsia="Times New Roman" w:cs="Segoe UI" w:ascii="Nimbus Roman No9 L" w:hAnsi="Nimbus Roman No9 L"/>
          <w:color w:val="000000"/>
          <w:szCs w:val="24"/>
          <w:lang w:val="es-ES"/>
        </w:rPr>
        <w:t>”.</w:t>
      </w:r>
    </w:p>
    <w:p>
      <w:pPr>
        <w:pStyle w:val="Normal"/>
        <w:jc w:val="both"/>
        <w:rPr>
          <w:rFonts w:ascii="Nimbus Roman No9 L" w:hAnsi="Nimbus Roman No9 L" w:eastAsia="Times New Roman" w:cs="Segoe UI"/>
          <w:color w:val="000000"/>
          <w:szCs w:val="24"/>
          <w:lang w:val="es-ES"/>
        </w:rPr>
      </w:pPr>
      <w:r>
        <w:rPr/>
      </w:r>
    </w:p>
    <w:p>
      <w:pPr>
        <w:pStyle w:val="Normal"/>
        <w:jc w:val="both"/>
        <w:rPr/>
      </w:pPr>
      <w:r>
        <w:rPr>
          <w:rFonts w:eastAsia="Times New Roman" w:cs="Segoe UI" w:ascii="Nimbus Roman No9 L" w:hAnsi="Nimbus Roman No9 L"/>
          <w:color w:val="000000"/>
          <w:szCs w:val="24"/>
          <w:lang w:val="es-ES"/>
        </w:rPr>
        <w:t xml:space="preserve">Y de forma especial, interpretado este artículo 46.5 por la </w:t>
      </w:r>
      <w:r>
        <w:rPr>
          <w:rStyle w:val="Muydestacado"/>
          <w:rFonts w:eastAsia="Times New Roman" w:cs="Segoe UI" w:ascii="Nimbus Roman No9 L" w:hAnsi="Nimbus Roman No9 L"/>
          <w:color w:val="000000"/>
          <w:szCs w:val="24"/>
          <w:lang w:val="es-ES"/>
        </w:rPr>
        <w:t xml:space="preserve">STJUE C-808/18, de 17 de diciembre de 2020 </w:t>
      </w:r>
      <w:r>
        <w:rPr>
          <w:rStyle w:val="Muydestacado"/>
          <w:rFonts w:eastAsia="Times New Roman" w:cs="Segoe UI" w:ascii="Nimbus Roman No9 L" w:hAnsi="Nimbus Roman No9 L"/>
          <w:b w:val="false"/>
          <w:bCs w:val="false"/>
          <w:color w:val="000000"/>
          <w:szCs w:val="24"/>
          <w:lang w:val="es-ES"/>
        </w:rPr>
        <w:t>que en el apartado 285 reconoce el mantenimiento de la condición de solicitante, pues</w:t>
      </w:r>
    </w:p>
    <w:p>
      <w:pPr>
        <w:pStyle w:val="Normal"/>
        <w:jc w:val="both"/>
        <w:rPr>
          <w:rStyle w:val="Muydestacado"/>
          <w:rFonts w:ascii="Nimbus Roman No9 L" w:hAnsi="Nimbus Roman No9 L" w:eastAsia="Times New Roman" w:cs="Segoe UI"/>
          <w:b w:val="false"/>
          <w:b w:val="false"/>
          <w:bCs w:val="false"/>
          <w:color w:val="000000"/>
          <w:szCs w:val="24"/>
          <w:lang w:val="es-ES"/>
        </w:rPr>
      </w:pPr>
      <w:r>
        <w:rPr/>
      </w:r>
    </w:p>
    <w:p>
      <w:pPr>
        <w:pStyle w:val="Normal"/>
        <w:ind w:left="708" w:hanging="0"/>
        <w:jc w:val="both"/>
        <w:rPr/>
      </w:pPr>
      <w:r>
        <w:rPr>
          <w:rStyle w:val="Muydestacado"/>
          <w:rFonts w:eastAsia="Times New Roman" w:cs="Segoe UI" w:ascii="Nimbus Roman No9 L" w:hAnsi="Nimbus Roman No9 L"/>
          <w:b w:val="false"/>
          <w:bCs w:val="false"/>
          <w:i/>
          <w:iCs/>
          <w:color w:val="000000"/>
          <w:szCs w:val="24"/>
          <w:lang w:val="es-ES"/>
        </w:rPr>
        <w:t>“</w:t>
      </w:r>
      <w:r>
        <w:rPr>
          <w:rStyle w:val="Muydestacado"/>
          <w:rFonts w:eastAsia="Times New Roman" w:cs="Segoe UI" w:ascii="Nimbus Roman No9 L" w:hAnsi="Nimbus Roman No9 L"/>
          <w:b w:val="false"/>
          <w:bCs w:val="false"/>
          <w:i/>
          <w:iCs/>
          <w:color w:val="000000"/>
          <w:szCs w:val="24"/>
          <w:lang w:val="es-ES"/>
        </w:rPr>
        <w:t>En efecto, el artículo 3, apartado 1, de la Directiva 2013/33 establece que el solicitante de protección internacional ha de disfrutar de las condiciones de acogida contempladas en esta Directiva mientras esté autorizado a permanecer en el territorio del Estado miembro de que se trate en su condición de solicitante, y, según el artículo 2, letra b), de dicha Directiva, el nacional de un tercer país o apátrida debe tener la consideración de solicitante de protección internacional, a los efectos de esta Directiva, hasta que se resuelva definitivamente sobre su solicitud.”</w:t>
      </w:r>
    </w:p>
    <w:p>
      <w:pPr>
        <w:pStyle w:val="Normal"/>
        <w:jc w:val="both"/>
        <w:rPr>
          <w:rStyle w:val="Muydestacado"/>
          <w:rFonts w:ascii="Nimbus Roman No9 L" w:hAnsi="Nimbus Roman No9 L" w:eastAsia="Times New Roman" w:cs="Segoe UI"/>
          <w:color w:val="000000"/>
          <w:szCs w:val="24"/>
          <w:lang w:val="es-ES"/>
        </w:rPr>
      </w:pPr>
      <w:r>
        <w:rPr/>
      </w:r>
    </w:p>
    <w:p>
      <w:pPr>
        <w:pStyle w:val="Normal"/>
        <w:jc w:val="both"/>
        <w:rPr/>
      </w:pPr>
      <w:r>
        <w:rPr>
          <w:rStyle w:val="Muydestacado"/>
          <w:rFonts w:eastAsia="Times New Roman" w:cs="Segoe UI" w:ascii="Nimbus Roman No9 L" w:hAnsi="Nimbus Roman No9 L"/>
          <w:b w:val="false"/>
          <w:bCs w:val="false"/>
          <w:color w:val="000000"/>
          <w:szCs w:val="24"/>
          <w:lang w:val="es-ES"/>
        </w:rPr>
        <w:t>Y en su apartado 286 reconoce que</w:t>
      </w:r>
    </w:p>
    <w:p>
      <w:pPr>
        <w:pStyle w:val="Normal"/>
        <w:jc w:val="both"/>
        <w:rPr>
          <w:rStyle w:val="Muydestacado"/>
          <w:rFonts w:ascii="Nimbus Roman No9 L" w:hAnsi="Nimbus Roman No9 L" w:eastAsia="Times New Roman" w:cs="Segoe UI"/>
          <w:color w:val="000000"/>
          <w:szCs w:val="24"/>
          <w:lang w:val="es-ES"/>
        </w:rPr>
      </w:pPr>
      <w:r>
        <w:rPr/>
      </w:r>
    </w:p>
    <w:p>
      <w:pPr>
        <w:pStyle w:val="Normal"/>
        <w:ind w:left="708" w:hanging="0"/>
        <w:jc w:val="both"/>
        <w:rPr/>
      </w:pPr>
      <w:r>
        <w:rPr>
          <w:rStyle w:val="Muydestacado"/>
          <w:rFonts w:eastAsia="Times New Roman" w:cs="Segoe UI" w:ascii="Nimbus Roman No9 L" w:hAnsi="Nimbus Roman No9 L"/>
          <w:b w:val="false"/>
          <w:bCs w:val="false"/>
          <w:i/>
          <w:iCs/>
          <w:color w:val="000000"/>
          <w:szCs w:val="24"/>
          <w:lang w:val="es-ES"/>
        </w:rPr>
        <w:t>“</w:t>
      </w:r>
      <w:r>
        <w:rPr>
          <w:rStyle w:val="Muydestacado"/>
          <w:rFonts w:eastAsia="Times New Roman" w:cs="Segoe UI" w:ascii="Nimbus Roman No9 L" w:hAnsi="Nimbus Roman No9 L"/>
          <w:b w:val="false"/>
          <w:bCs w:val="false"/>
          <w:i/>
          <w:iCs/>
          <w:color w:val="000000"/>
          <w:szCs w:val="24"/>
          <w:lang w:val="es-ES"/>
        </w:rPr>
        <w:t>Pues bien, habida cuenta del estrecho vínculo que existe entre el ámbito de aplicación de la Directiva 2013/32 y el de la Directiva 2013/33, procede utilizar, a los efectos del artículo 2, letra b), de la Directiva 2013/33, la misma definición de resolución definitiva que la que el artículo 2, letra e), de la Directiva 2013/32 fija para determinar el ámbito de aplicación de esta última Directiva..."</w:t>
      </w:r>
    </w:p>
    <w:p>
      <w:pPr>
        <w:pStyle w:val="Normal"/>
        <w:jc w:val="both"/>
        <w:rPr>
          <w:rStyle w:val="Muydestacado"/>
          <w:rFonts w:ascii="Nimbus Roman No9 L" w:hAnsi="Nimbus Roman No9 L" w:eastAsia="Times New Roman" w:cs="Segoe UI"/>
          <w:color w:val="000000"/>
          <w:szCs w:val="24"/>
          <w:lang w:val="es-ES"/>
        </w:rPr>
      </w:pPr>
      <w:r>
        <w:rPr/>
      </w:r>
    </w:p>
    <w:p>
      <w:pPr>
        <w:pStyle w:val="Normal"/>
        <w:jc w:val="both"/>
        <w:rPr/>
      </w:pPr>
      <w:r>
        <w:rPr>
          <w:rStyle w:val="Muydestacado"/>
          <w:rFonts w:eastAsia="Times New Roman" w:cs="Segoe UI" w:ascii="Nimbus Roman No9 L" w:hAnsi="Nimbus Roman No9 L"/>
          <w:b w:val="false"/>
          <w:bCs w:val="false"/>
          <w:color w:val="000000"/>
          <w:szCs w:val="24"/>
          <w:lang w:val="es-ES"/>
        </w:rPr>
        <w:t>Y en los apartados 287 y 288, sobre la autorización para permanecer</w:t>
      </w:r>
    </w:p>
    <w:p>
      <w:pPr>
        <w:pStyle w:val="Normal"/>
        <w:jc w:val="both"/>
        <w:rPr>
          <w:rStyle w:val="Muydestacado"/>
          <w:rFonts w:ascii="Nimbus Roman No9 L" w:hAnsi="Nimbus Roman No9 L" w:eastAsia="Times New Roman" w:cs="Segoe UI"/>
          <w:b w:val="false"/>
          <w:b w:val="false"/>
          <w:bCs w:val="false"/>
          <w:color w:val="000000"/>
          <w:szCs w:val="24"/>
          <w:lang w:val="es-ES"/>
        </w:rPr>
      </w:pPr>
      <w:r>
        <w:rPr/>
      </w:r>
    </w:p>
    <w:p>
      <w:pPr>
        <w:pStyle w:val="Normal"/>
        <w:ind w:left="708" w:hanging="0"/>
        <w:jc w:val="both"/>
        <w:rPr/>
      </w:pPr>
      <w:r>
        <w:rPr>
          <w:rStyle w:val="Muydestacado"/>
          <w:rFonts w:eastAsia="Times New Roman" w:cs="Segoe UI" w:ascii="Nimbus Roman No9 L" w:hAnsi="Nimbus Roman No9 L"/>
          <w:b w:val="false"/>
          <w:bCs w:val="false"/>
          <w:i/>
          <w:iCs/>
          <w:color w:val="000000"/>
          <w:szCs w:val="24"/>
          <w:lang w:val="es-ES"/>
        </w:rPr>
        <w:t xml:space="preserve">"De ello se deduce, por una parte, que, si bien el artículo 46, apartado 5, de la Directiva 2013/32 se limita a conferir al solicitante de protección internacional comprendido en su ámbito de aplicación un </w:t>
      </w:r>
      <w:r>
        <w:rPr>
          <w:rStyle w:val="Muydestacado"/>
          <w:rFonts w:eastAsia="Times New Roman" w:cs="Segoe UI" w:ascii="Nimbus Roman No9 L" w:hAnsi="Nimbus Roman No9 L"/>
          <w:b/>
          <w:bCs/>
          <w:i/>
          <w:iCs/>
          <w:color w:val="000000"/>
          <w:szCs w:val="24"/>
          <w:lang w:val="es-ES"/>
        </w:rPr>
        <w:t>derecho a permanecer en el territorio del Estado</w:t>
      </w:r>
      <w:r>
        <w:rPr>
          <w:rStyle w:val="Muydestacado"/>
          <w:rFonts w:eastAsia="Times New Roman" w:cs="Segoe UI" w:ascii="Nimbus Roman No9 L" w:hAnsi="Nimbus Roman No9 L"/>
          <w:b w:val="false"/>
          <w:bCs w:val="false"/>
          <w:i/>
          <w:iCs/>
          <w:color w:val="000000"/>
          <w:szCs w:val="24"/>
          <w:lang w:val="es-ES"/>
        </w:rPr>
        <w:t xml:space="preserve"> miembro de que se trate, </w:t>
      </w:r>
      <w:r>
        <w:rPr>
          <w:rStyle w:val="Muydestacado"/>
          <w:rFonts w:eastAsia="Times New Roman" w:cs="Segoe UI" w:ascii="Nimbus Roman No9 L" w:hAnsi="Nimbus Roman No9 L"/>
          <w:b/>
          <w:bCs/>
          <w:i/>
          <w:iCs/>
          <w:color w:val="000000"/>
          <w:szCs w:val="24"/>
          <w:lang w:val="es-ES"/>
        </w:rPr>
        <w:t>la existencia de este derecho se consagra, no obstante, de manera incondicional</w:t>
      </w:r>
      <w:r>
        <w:rPr>
          <w:rStyle w:val="Muydestacado"/>
          <w:rFonts w:eastAsia="Times New Roman" w:cs="Segoe UI" w:ascii="Nimbus Roman No9 L" w:hAnsi="Nimbus Roman No9 L"/>
          <w:b w:val="false"/>
          <w:bCs w:val="false"/>
          <w:i/>
          <w:iCs/>
          <w:color w:val="000000"/>
          <w:szCs w:val="24"/>
          <w:lang w:val="es-ES"/>
        </w:rPr>
        <w:t>, sin perjuicio de las excepciones previstas en los artículos 41, apartado 1, y 46, apartado 6, de dicha Directiva, y, por otra parte, que un Estado miembro solamente puede fijar condiciones de ejercicio de este derecho en la medida en que sean conformes, en particular, con las Directivas 2013/32 y 2013/33.”</w:t>
      </w:r>
    </w:p>
    <w:p>
      <w:pPr>
        <w:pStyle w:val="Normal"/>
        <w:jc w:val="both"/>
        <w:rPr>
          <w:rStyle w:val="Muydestacado"/>
          <w:rFonts w:ascii="Nimbus Roman No9 L" w:hAnsi="Nimbus Roman No9 L" w:eastAsia="Times New Roman" w:cs="Segoe UI"/>
          <w:color w:val="000000"/>
          <w:szCs w:val="24"/>
          <w:lang w:val="es-ES"/>
        </w:rPr>
      </w:pPr>
      <w:r>
        <w:rPr/>
      </w:r>
    </w:p>
    <w:p>
      <w:pPr>
        <w:pStyle w:val="Normal"/>
        <w:jc w:val="both"/>
        <w:rPr/>
      </w:pPr>
      <w:r>
        <w:rPr>
          <w:rStyle w:val="Muydestacado"/>
          <w:rFonts w:eastAsia="Times New Roman" w:cs="Segoe UI" w:ascii="Nimbus Roman No9 L" w:hAnsi="Nimbus Roman No9 L"/>
          <w:b w:val="false"/>
          <w:bCs w:val="false"/>
          <w:color w:val="000000"/>
          <w:szCs w:val="24"/>
          <w:lang w:val="es-ES"/>
        </w:rPr>
        <w:t>Además, la sentencia recuerda una vez más, citando numerosas sentencias previas que  “</w:t>
      </w:r>
      <w:r>
        <w:rPr>
          <w:rStyle w:val="Muydestacado"/>
          <w:rFonts w:eastAsia="Times New Roman" w:cs="Segoe UI" w:ascii="Nimbus Roman No9 L" w:hAnsi="Nimbus Roman No9 L"/>
          <w:b w:val="false"/>
          <w:bCs w:val="false"/>
          <w:i/>
          <w:iCs/>
          <w:color w:val="000000"/>
          <w:szCs w:val="24"/>
          <w:lang w:val="es-ES"/>
        </w:rPr>
        <w:t>las disposiciones de una directiva deben ser ejecutadas con indiscutible fuerza imperativa y con la especificidad, precisión y claridad requeridas para cumplir la exigencia de seguridad jurídica, la cual requiere que, cuando la directiva tenga como fin crear derechos a favor de los particulares, los beneficiarios puedan conocer plenamente sus derechos</w:t>
      </w:r>
      <w:r>
        <w:rPr>
          <w:rStyle w:val="Muydestacado"/>
          <w:rFonts w:eastAsia="Times New Roman" w:cs="Segoe UI" w:ascii="Nimbus Roman No9 L" w:hAnsi="Nimbus Roman No9 L"/>
          <w:b w:val="false"/>
          <w:bCs w:val="false"/>
          <w:color w:val="000000"/>
          <w:szCs w:val="24"/>
          <w:lang w:val="es-ES"/>
        </w:rPr>
        <w:t>”.</w:t>
      </w:r>
    </w:p>
    <w:p>
      <w:pPr>
        <w:pStyle w:val="Normal"/>
        <w:jc w:val="both"/>
        <w:rPr>
          <w:rFonts w:ascii="Nimbus Roman No9 L" w:hAnsi="Nimbus Roman No9 L" w:eastAsia="Times New Roman" w:cs="Segoe UI"/>
          <w:color w:val="000000"/>
          <w:szCs w:val="24"/>
          <w:lang w:val="es-ES"/>
        </w:rPr>
      </w:pPr>
      <w:r>
        <w:rPr>
          <w:rFonts w:eastAsia="Times New Roman" w:cs="Segoe UI" w:ascii="Nimbus Roman No9 L" w:hAnsi="Nimbus Roman No9 L"/>
          <w:color w:val="000000"/>
          <w:szCs w:val="24"/>
          <w:lang w:val="es-ES"/>
        </w:rPr>
      </w:r>
    </w:p>
    <w:p>
      <w:pPr>
        <w:pStyle w:val="Normal"/>
        <w:jc w:val="both"/>
        <w:rPr>
          <w:rFonts w:ascii="Nimbus Roman No9 L" w:hAnsi="Nimbus Roman No9 L" w:eastAsia="Times New Roman" w:cs="Segoe UI"/>
          <w:color w:val="00000A"/>
          <w:szCs w:val="24"/>
          <w:lang w:val="es-ES"/>
        </w:rPr>
      </w:pPr>
      <w:bookmarkStart w:id="0" w:name="_GoBack"/>
      <w:bookmarkEnd w:id="0"/>
      <w:r>
        <w:rPr>
          <w:rFonts w:eastAsia="Times New Roman" w:cs="Segoe UI" w:ascii="Nimbus Roman No9 L" w:hAnsi="Nimbus Roman No9 L"/>
          <w:color w:val="000000"/>
          <w:szCs w:val="24"/>
          <w:lang w:val="es-ES"/>
        </w:rPr>
        <w:t>Así pues, una vez suspendidos los efectos cabe reconocer también el mantenimiento de la autorización para trabajar de forma provisional, mientras se resuelve el asunto, y según el apartado tercero del art. 15 de la Directiva 2013/33/UE del Parlamento Europeo y del Consejo, de 26 de junio de 2013 por la que se aprueban normas para la acogida de los solicitantes de protección internacional, que establece que “</w:t>
      </w:r>
      <w:r>
        <w:rPr>
          <w:rFonts w:eastAsia="Times New Roman" w:cs="Segoe UI" w:ascii="Nimbus Roman No9 L" w:hAnsi="Nimbus Roman No9 L"/>
          <w:i/>
          <w:color w:val="000000"/>
          <w:szCs w:val="24"/>
          <w:lang w:val="es-ES"/>
        </w:rPr>
        <w:t>No se privará al solicitante del acceso al mercado de trabajo cuando se interponga un recurso, que tenga efectos suspensivos, contra una decisión negativa tomada en un procedimiento ordinario, hasta la notificación de su desestimación</w:t>
      </w:r>
      <w:r>
        <w:rPr>
          <w:rFonts w:eastAsia="Times New Roman" w:cs="Segoe UI" w:ascii="Nimbus Roman No9 L" w:hAnsi="Nimbus Roman No9 L"/>
          <w:color w:val="000000"/>
          <w:szCs w:val="24"/>
          <w:lang w:val="es-ES"/>
        </w:rPr>
        <w:t>”, confirmado por la la STJUE de 14/01/2021, asuntos acumulados C-322 y C-385/19.</w:t>
      </w:r>
    </w:p>
    <w:p>
      <w:pPr>
        <w:pStyle w:val="Normal"/>
        <w:jc w:val="both"/>
        <w:rPr>
          <w:rFonts w:ascii="Nimbus Roman No9 L" w:hAnsi="Nimbus Roman No9 L" w:eastAsia="Times New Roman" w:cs="Segoe UI"/>
          <w:color w:val="000000"/>
          <w:szCs w:val="24"/>
          <w:lang w:val="es-ES"/>
        </w:rPr>
      </w:pPr>
      <w:r>
        <w:rPr>
          <w:rFonts w:eastAsia="Times New Roman" w:cs="Segoe UI" w:ascii="Nimbus Roman No9 L" w:hAnsi="Nimbus Roman No9 L"/>
          <w:color w:val="000000"/>
          <w:szCs w:val="24"/>
          <w:lang w:val="es-ES"/>
        </w:rPr>
      </w:r>
    </w:p>
    <w:p>
      <w:pPr>
        <w:pStyle w:val="Normal"/>
        <w:jc w:val="both"/>
        <w:rPr>
          <w:rFonts w:ascii="Nimbus Roman No9 L" w:hAnsi="Nimbus Roman No9 L"/>
          <w:color w:val="00000A"/>
          <w:lang w:val="es-ES"/>
        </w:rPr>
      </w:pPr>
      <w:r>
        <w:rPr>
          <w:rFonts w:eastAsia="Times New Roman" w:cs="Segoe UI" w:ascii="Nimbus Roman No9 L" w:hAnsi="Nimbus Roman No9 L"/>
          <w:color w:val="000000"/>
          <w:szCs w:val="24"/>
          <w:lang w:val="es-ES"/>
        </w:rPr>
        <w:t>Y es que es presupuesto de toda medida cautelar la existencia de un peligro derivado de</w:t>
      </w:r>
      <w:r>
        <w:rPr>
          <w:rFonts w:cs="Segoe UI" w:ascii="Nimbus Roman No9 L" w:hAnsi="Nimbus Roman No9 L"/>
          <w:color w:val="000000"/>
          <w:szCs w:val="24"/>
          <w:lang w:val="es-ES"/>
        </w:rPr>
        <w:t xml:space="preserve"> la demora o </w:t>
      </w:r>
      <w:r>
        <w:rPr>
          <w:rFonts w:cs="Segoe UI" w:ascii="Nimbus Roman No9 L" w:hAnsi="Nimbus Roman No9 L"/>
          <w:i/>
          <w:color w:val="000000"/>
          <w:szCs w:val="24"/>
          <w:lang w:val="es-ES"/>
        </w:rPr>
        <w:t>periculum et mora</w:t>
      </w:r>
      <w:r>
        <w:rPr>
          <w:rFonts w:cs="Segoe UI" w:ascii="Nimbus Roman No9 L" w:hAnsi="Nimbus Roman No9 L"/>
          <w:color w:val="000000"/>
          <w:szCs w:val="24"/>
          <w:lang w:val="es-ES"/>
        </w:rPr>
        <w:t xml:space="preserve"> esto es, que de la ejecución del acto administrativo puedan derivarse daños de imposible o muy difícil reparación. En este sentido, debe suspenderse la ejecución de la resolución impugnada dado que de no hacerlo se estaría frustrando el objeto principal del recurso, que es garantizar el </w:t>
      </w:r>
      <w:r>
        <w:rPr>
          <w:rFonts w:cs="Segoe UI" w:ascii="Nimbus Roman No9 L" w:hAnsi="Nimbus Roman No9 L"/>
          <w:b/>
          <w:color w:val="000000"/>
          <w:szCs w:val="24"/>
          <w:lang w:val="es-ES"/>
        </w:rPr>
        <w:t>PRINCIPIO DE NO DEVOLUCIÓN</w:t>
      </w:r>
      <w:r>
        <w:rPr>
          <w:rFonts w:cs="Segoe UI" w:ascii="Nimbus Roman No9 L" w:hAnsi="Nimbus Roman No9 L"/>
          <w:color w:val="000000"/>
          <w:szCs w:val="24"/>
          <w:lang w:val="es-ES"/>
        </w:rPr>
        <w:t xml:space="preserve">, fundamento del derecho de asilo y con motivo de evitar persecución y la </w:t>
      </w:r>
      <w:r>
        <w:rPr>
          <w:rFonts w:cs="Segoe UI" w:ascii="Nimbus Roman No9 L" w:hAnsi="Nimbus Roman No9 L"/>
          <w:b/>
          <w:bCs/>
          <w:color w:val="000000"/>
          <w:szCs w:val="24"/>
          <w:lang w:val="es-ES"/>
        </w:rPr>
        <w:t>VULNERACIÓN DE DERECHOS FUNDAMENTALES,</w:t>
      </w:r>
      <w:r>
        <w:rPr>
          <w:rFonts w:cs="Segoe UI" w:ascii="Nimbus Roman No9 L" w:hAnsi="Nimbus Roman No9 L"/>
          <w:color w:val="000000"/>
          <w:szCs w:val="24"/>
          <w:lang w:val="es-ES"/>
        </w:rPr>
        <w:t xml:space="preserve"> justificándose estas consecuencias en las consideraciones expuestas en este escrito y la documentación que obra en el expediente.</w:t>
      </w:r>
    </w:p>
    <w:p>
      <w:pPr>
        <w:pStyle w:val="Default"/>
        <w:jc w:val="both"/>
        <w:rPr>
          <w:rFonts w:ascii="Nimbus Roman No9 L" w:hAnsi="Nimbus Roman No9 L" w:cs="Segoe UI"/>
          <w:color w:val="000000"/>
        </w:rPr>
      </w:pPr>
      <w:r>
        <w:rPr>
          <w:rFonts w:cs="Segoe UI" w:ascii="Nimbus Roman No9 L" w:hAnsi="Nimbus Roman No9 L"/>
          <w:color w:val="000000"/>
        </w:rPr>
      </w:r>
    </w:p>
    <w:p>
      <w:pPr>
        <w:pStyle w:val="Default"/>
        <w:jc w:val="both"/>
        <w:rPr>
          <w:rFonts w:ascii="Nimbus Roman No9 L" w:hAnsi="Nimbus Roman No9 L"/>
          <w:color w:val="00000A"/>
        </w:rPr>
      </w:pPr>
      <w:r>
        <w:rPr>
          <w:rFonts w:eastAsia="Times New Roman" w:cs="Segoe UI" w:ascii="Nimbus Roman No9 L" w:hAnsi="Nimbus Roman No9 L"/>
          <w:color w:val="000000"/>
        </w:rPr>
        <w:t>Por lo expuesto</w:t>
      </w:r>
    </w:p>
    <w:p>
      <w:pPr>
        <w:pStyle w:val="Default"/>
        <w:jc w:val="both"/>
        <w:rPr>
          <w:rFonts w:ascii="Nimbus Roman No9 L" w:hAnsi="Nimbus Roman No9 L"/>
          <w:color w:val="00000A"/>
        </w:rPr>
      </w:pPr>
      <w:r>
        <w:rPr>
          <w:rFonts w:eastAsia="Times New Roman" w:cs="Segoe UI" w:ascii="Nimbus Roman No9 L" w:hAnsi="Nimbus Roman No9 L"/>
          <w:color w:val="000000"/>
        </w:rPr>
        <w:t xml:space="preserve"> </w:t>
      </w:r>
    </w:p>
    <w:p>
      <w:pPr>
        <w:pStyle w:val="Normal"/>
        <w:jc w:val="both"/>
        <w:rPr/>
      </w:pPr>
      <w:r>
        <w:rPr>
          <w:rFonts w:eastAsia="Times New Roman" w:cs="Segoe UI" w:ascii="Nimbus Roman No9 L" w:hAnsi="Nimbus Roman No9 L"/>
          <w:b/>
          <w:color w:val="000000"/>
          <w:szCs w:val="24"/>
          <w:lang w:val="es-ES"/>
        </w:rPr>
        <w:t>SOLICITO</w:t>
      </w:r>
      <w:r>
        <w:rPr>
          <w:rFonts w:eastAsia="Times New Roman" w:cs="Segoe UI" w:ascii="Nimbus Roman No9 L" w:hAnsi="Nimbus Roman No9 L"/>
          <w:color w:val="000000"/>
          <w:szCs w:val="24"/>
          <w:lang w:val="es-ES"/>
        </w:rPr>
        <w:t xml:space="preserve"> que teniéndose por presentado este escrito, se tenga en cuenta lo anterior, y se declare la </w:t>
      </w:r>
      <w:r>
        <w:rPr>
          <w:rFonts w:eastAsia="Times New Roman" w:cs="Segoe UI" w:ascii="Nimbus Roman No9 L" w:hAnsi="Nimbus Roman No9 L"/>
          <w:b/>
          <w:color w:val="000000"/>
          <w:szCs w:val="24"/>
          <w:lang w:val="es-ES"/>
        </w:rPr>
        <w:t>NULIDAD DE PLENO DERECHO</w:t>
      </w:r>
      <w:r>
        <w:rPr>
          <w:rFonts w:eastAsia="Times New Roman" w:cs="Segoe UI" w:ascii="Nimbus Roman No9 L" w:hAnsi="Nimbus Roman No9 L"/>
          <w:color w:val="000000"/>
          <w:szCs w:val="24"/>
          <w:lang w:val="es-ES"/>
        </w:rPr>
        <w:t xml:space="preserve"> de la resolución impugnada, se revoque la resolución y se proceda a la retroacción de actuaciones por la vulneracion del procedimiento (ver motivo primero), con nueva entrevista de asilo y, en todo caso, se proceda a </w:t>
      </w:r>
      <w:r>
        <w:rPr>
          <w:rFonts w:eastAsia="Times New Roman" w:cs="Segoe UI" w:ascii="Nimbus Roman No9 L" w:hAnsi="Nimbus Roman No9 L"/>
          <w:b/>
          <w:color w:val="000000"/>
          <w:szCs w:val="24"/>
          <w:lang w:val="es-ES"/>
        </w:rPr>
        <w:t>RECONOCER LA CONDICIÓN DE REFUGIADO A D. nombre</w:t>
      </w:r>
      <w:r>
        <w:rPr>
          <w:rFonts w:eastAsia="Times New Roman" w:cs="Segoe UI" w:ascii="Nimbus Roman No9 L" w:hAnsi="Nimbus Roman No9 L"/>
          <w:color w:val="000000"/>
          <w:szCs w:val="24"/>
          <w:lang w:val="es-ES"/>
        </w:rPr>
        <w:t xml:space="preserve">, o, en su caso la protección subsidiaria, o, en su defecto se proceda a conceder autorización por razones humanitarias de carácter internacional; y, mientras no se resuelva el asunto, se proceda a reconocer automáticamente o, en su caso, acordar, </w:t>
      </w:r>
      <w:r>
        <w:rPr>
          <w:rFonts w:cs="Segoe UI" w:ascii="Nimbus Roman No9 L" w:hAnsi="Nimbus Roman No9 L"/>
          <w:color w:val="000000"/>
          <w:szCs w:val="24"/>
          <w:lang w:val="es-ES"/>
        </w:rPr>
        <w:t xml:space="preserve">la </w:t>
      </w:r>
      <w:r>
        <w:rPr>
          <w:rFonts w:cs="Segoe UI" w:ascii="Nimbus Roman No9 L" w:hAnsi="Nimbus Roman No9 L"/>
          <w:b/>
          <w:color w:val="000000"/>
          <w:szCs w:val="24"/>
          <w:lang w:val="es-ES"/>
        </w:rPr>
        <w:t xml:space="preserve">SUSPENSIÓN CAUTELAR DE </w:t>
      </w:r>
      <w:r>
        <w:rPr>
          <w:rFonts w:cs="Segoe UI" w:ascii="Nimbus Roman No9 L" w:hAnsi="Nimbus Roman No9 L"/>
          <w:b/>
          <w:color w:val="000000"/>
          <w:szCs w:val="24"/>
          <w:lang w:val="es-ES"/>
        </w:rPr>
        <w:t>LOS EFECTOS DE</w:t>
      </w:r>
      <w:r>
        <w:rPr>
          <w:rFonts w:cs="Segoe UI" w:ascii="Nimbus Roman No9 L" w:hAnsi="Nimbus Roman No9 L"/>
          <w:b/>
          <w:color w:val="000000"/>
          <w:szCs w:val="24"/>
          <w:lang w:val="es-ES"/>
        </w:rPr>
        <w:t xml:space="preserve"> LA RESOLUCIÓN </w:t>
      </w:r>
      <w:r>
        <w:rPr>
          <w:rFonts w:cs="Segoe UI" w:ascii="Nimbus Roman No9 L" w:hAnsi="Nimbus Roman No9 L"/>
          <w:color w:val="000000"/>
          <w:szCs w:val="24"/>
          <w:lang w:val="es-ES"/>
        </w:rPr>
        <w:t xml:space="preserve">conforme a lo establecido en el artículo 117 de la Ley 39/2015 de 1 de Octubre, de Procedimiento Administrativo Común y Régimen de las administraciones públicas y el art. 46.5 de la Directiva de Procedimientos, </w:t>
      </w:r>
      <w:r>
        <w:rPr>
          <w:rFonts w:cs="Segoe UI" w:ascii="Nimbus Roman No9 L" w:hAnsi="Nimbus Roman No9 L"/>
          <w:color w:val="000000"/>
          <w:szCs w:val="24"/>
          <w:lang w:val="es-ES"/>
        </w:rPr>
        <w:t xml:space="preserve">en la interpretación dada por la </w:t>
      </w:r>
      <w:r>
        <w:rPr>
          <w:rStyle w:val="Muydestacado"/>
          <w:rFonts w:cs="Segoe UI" w:ascii="Nimbus Roman No9 L" w:hAnsi="Nimbus Roman No9 L"/>
          <w:b w:val="false"/>
          <w:bCs w:val="false"/>
          <w:color w:val="000000"/>
          <w:szCs w:val="24"/>
          <w:lang w:val="es-ES"/>
        </w:rPr>
        <w:t>STJUE C-808/18, de 17 de diciembre de 2020, esto de forma automática e incondicional.</w:t>
      </w:r>
    </w:p>
    <w:p>
      <w:pPr>
        <w:pStyle w:val="Normal"/>
        <w:ind w:firstLine="708"/>
        <w:jc w:val="both"/>
        <w:rPr>
          <w:rFonts w:ascii="Nimbus Roman No9 L" w:hAnsi="Nimbus Roman No9 L" w:eastAsia="Times New Roman" w:cs="Segoe UI"/>
          <w:color w:val="000000"/>
          <w:szCs w:val="24"/>
          <w:lang w:val="es-ES"/>
        </w:rPr>
      </w:pPr>
      <w:r>
        <w:rPr>
          <w:rFonts w:eastAsia="Times New Roman" w:cs="Segoe UI" w:ascii="Nimbus Roman No9 L" w:hAnsi="Nimbus Roman No9 L"/>
          <w:color w:val="000000"/>
          <w:szCs w:val="24"/>
          <w:lang w:val="es-ES"/>
        </w:rPr>
      </w:r>
    </w:p>
    <w:p>
      <w:pPr>
        <w:pStyle w:val="Normal"/>
        <w:spacing w:before="0" w:after="200"/>
        <w:jc w:val="center"/>
        <w:rPr>
          <w:color w:val="000000"/>
        </w:rPr>
      </w:pPr>
      <w:r>
        <w:rPr>
          <w:rFonts w:eastAsia="Times New Roman" w:cs="Segoe UI" w:ascii="Nimbus Roman No9 L" w:hAnsi="Nimbus Roman No9 L"/>
          <w:color w:val="000000"/>
          <w:szCs w:val="24"/>
          <w:lang w:val="es-ES"/>
        </w:rPr>
        <w:t>Es de Justicia, en XXXXXXXXX a XX de XXXXXXXXX de 2021</w:t>
      </w:r>
    </w:p>
    <w:p>
      <w:pPr>
        <w:pStyle w:val="Normal"/>
        <w:jc w:val="center"/>
        <w:rPr>
          <w:rFonts w:ascii="Nimbus Roman No9 L" w:hAnsi="Nimbus Roman No9 L" w:eastAsia="Times New Roman" w:cs="Segoe UI"/>
          <w:color w:val="000000"/>
          <w:szCs w:val="24"/>
          <w:lang w:val="es-ES"/>
        </w:rPr>
      </w:pPr>
      <w:r>
        <w:rPr>
          <w:rFonts w:eastAsia="Times New Roman" w:cs="Segoe UI" w:ascii="Nimbus Roman No9 L" w:hAnsi="Nimbus Roman No9 L"/>
          <w:color w:val="000000"/>
          <w:szCs w:val="24"/>
          <w:lang w:val="es-ES"/>
        </w:rPr>
      </w:r>
    </w:p>
    <w:p>
      <w:pPr>
        <w:pStyle w:val="Normal"/>
        <w:jc w:val="center"/>
        <w:rPr>
          <w:rFonts w:ascii="Nimbus Roman No9 L" w:hAnsi="Nimbus Roman No9 L" w:eastAsia="Times New Roman" w:cs="Segoe UI"/>
          <w:color w:val="000000"/>
          <w:szCs w:val="24"/>
          <w:lang w:val="es-ES"/>
        </w:rPr>
      </w:pPr>
      <w:r>
        <w:rPr>
          <w:rFonts w:eastAsia="Times New Roman" w:cs="Segoe UI" w:ascii="Nimbus Roman No9 L" w:hAnsi="Nimbus Roman No9 L"/>
          <w:color w:val="000000"/>
          <w:szCs w:val="24"/>
          <w:lang w:val="es-ES"/>
        </w:rPr>
      </w:r>
    </w:p>
    <w:p>
      <w:pPr>
        <w:pStyle w:val="Normal"/>
        <w:jc w:val="center"/>
        <w:rPr/>
      </w:pPr>
      <w:r>
        <w:rPr/>
      </w:r>
    </w:p>
    <w:sectPr>
      <w:footerReference w:type="default" r:id="rId4"/>
      <w:type w:val="nextPage"/>
      <w:pgSz w:w="11906" w:h="16838"/>
      <w:pgMar w:left="1701" w:right="1701" w:header="0" w:top="1157" w:footer="713" w:bottom="1422"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w:altName w:val="Times New Roman"/>
    <w:charset w:val="01"/>
    <w:family w:val="roman"/>
    <w:pitch w:val="default"/>
  </w:font>
  <w:font w:name="Cambria">
    <w:charset w:val="01"/>
    <w:family w:val="roman"/>
    <w:pitch w:val="default"/>
  </w:font>
  <w:font w:name="Times New Roman">
    <w:charset w:val="01"/>
    <w:family w:val="roman"/>
    <w:pitch w:val="default"/>
  </w:font>
  <w:font w:name="Courier New">
    <w:charset w:val="01"/>
    <w:family w:val="roman"/>
    <w:pitch w:val="default"/>
  </w:font>
  <w:font w:name="Tahoma">
    <w:charset w:val="01"/>
    <w:family w:val="roman"/>
    <w:pitch w:val="default"/>
  </w:font>
  <w:font w:name="Liberation Sans">
    <w:altName w:val="Arial"/>
    <w:charset w:val="01"/>
    <w:family w:val="roman"/>
    <w:pitch w:val="default"/>
  </w:font>
  <w:font w:name="Corbel">
    <w:charset w:val="01"/>
    <w:family w:val="roman"/>
    <w:pitch w:val="default"/>
  </w:font>
  <w:font w:name="Stone Sans">
    <w:charset w:val="01"/>
    <w:family w:val="roman"/>
    <w:pitch w:val="default"/>
  </w:font>
  <w:font w:name="Nimbus Roman No9 L">
    <w:altName w:val="Times New Roman"/>
    <w:charset w:val="01"/>
    <w:family w:val="roman"/>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83146607"/>
    </w:sdtPr>
    <w:sdtContent>
      <w:p>
        <w:pPr>
          <w:pStyle w:val="Piedepgina"/>
          <w:jc w:val="center"/>
          <w:rPr/>
        </w:pPr>
        <w:r>
          <w:rPr/>
          <w:fldChar w:fldCharType="begin"/>
        </w:r>
        <w:r>
          <w:instrText> PAGE </w:instrText>
        </w:r>
        <w:r>
          <w:fldChar w:fldCharType="separate"/>
        </w:r>
        <w:r>
          <w:t>6</w:t>
        </w:r>
        <w:r>
          <w:fldChar w:fldCharType="end"/>
        </w:r>
        <w:r>
          <w:rPr/>
          <w:t>/5</w:t>
        </w:r>
      </w:p>
      <w:p>
        <w:pPr>
          <w:pStyle w:val="Piedepgina"/>
          <w:rPr/>
        </w:pPr>
        <w:r>
          <w:rPr/>
        </w:r>
      </w:p>
    </w:sdtContent>
  </w:sdt>
</w:ftr>
</file>

<file path=word/settings.xml><?xml version="1.0" encoding="utf-8"?>
<w:settings xmlns:w="http://schemas.openxmlformats.org/wordprocessingml/2006/main">
  <w:zoom w:percent="14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uiPriority="0"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296021"/>
    <w:pPr>
      <w:widowControl/>
      <w:bidi w:val="0"/>
      <w:jc w:val="left"/>
    </w:pPr>
    <w:rPr>
      <w:rFonts w:ascii="Times" w:hAnsi="Times" w:eastAsia="Times" w:cs="Times New Roman"/>
      <w:color w:val="00000A"/>
      <w:sz w:val="24"/>
      <w:szCs w:val="20"/>
      <w:lang w:val="en-US" w:eastAsia="es-ES" w:bidi="ar-SA"/>
    </w:rPr>
  </w:style>
  <w:style w:type="paragraph" w:styleId="Encabezado1">
    <w:name w:val="Heading 1"/>
    <w:basedOn w:val="Normal"/>
    <w:next w:val="Normal"/>
    <w:link w:val="Ttulo1Car"/>
    <w:uiPriority w:val="9"/>
    <w:qFormat/>
    <w:rsid w:val="007216f4"/>
    <w:pPr>
      <w:keepNext/>
      <w:keepLines/>
      <w:spacing w:before="480" w:after="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Encabezado2">
    <w:name w:val="Heading 2"/>
    <w:basedOn w:val="Normal"/>
    <w:link w:val="Ttulo2Car"/>
    <w:uiPriority w:val="9"/>
    <w:qFormat/>
    <w:rsid w:val="00de0bc5"/>
    <w:pPr>
      <w:spacing w:beforeAutospacing="1" w:afterAutospacing="1"/>
      <w:outlineLvl w:val="1"/>
    </w:pPr>
    <w:rPr>
      <w:rFonts w:ascii="Times New Roman" w:hAnsi="Times New Roman" w:eastAsia="Times New Roman"/>
      <w:b/>
      <w:bCs/>
      <w:sz w:val="36"/>
      <w:szCs w:val="36"/>
      <w:lang w:val="es-ES"/>
    </w:rPr>
  </w:style>
  <w:style w:type="paragraph" w:styleId="Encabezado5">
    <w:name w:val="Heading 5"/>
    <w:basedOn w:val="Encabezamiento"/>
    <w:qFormat/>
    <w:pPr>
      <w:outlineLvl w:val="4"/>
    </w:pPr>
    <w:rPr/>
  </w:style>
  <w:style w:type="character" w:styleId="DefaultParagraphFont" w:default="1">
    <w:name w:val="Default Paragraph Font"/>
    <w:uiPriority w:val="1"/>
    <w:semiHidden/>
    <w:unhideWhenUsed/>
    <w:qFormat/>
    <w:rPr/>
  </w:style>
  <w:style w:type="character" w:styleId="TextonotapieCar" w:customStyle="1">
    <w:name w:val="Texto nota pie Car"/>
    <w:basedOn w:val="DefaultParagraphFont"/>
    <w:link w:val="Textonotapie"/>
    <w:uiPriority w:val="99"/>
    <w:qFormat/>
    <w:rsid w:val="00dc7f10"/>
    <w:rPr>
      <w:rFonts w:ascii="Times" w:hAnsi="Times" w:eastAsia="Times" w:cs="Times New Roman"/>
      <w:sz w:val="20"/>
      <w:szCs w:val="20"/>
      <w:lang w:val="en-US" w:eastAsia="es-ES"/>
    </w:rPr>
  </w:style>
  <w:style w:type="character" w:styleId="Footnotereference">
    <w:name w:val="footnote reference"/>
    <w:unhideWhenUsed/>
    <w:qFormat/>
    <w:rsid w:val="00dc7f10"/>
    <w:rPr>
      <w:vertAlign w:val="superscript"/>
    </w:rPr>
  </w:style>
  <w:style w:type="character" w:styleId="EnlacedeInternet" w:customStyle="1">
    <w:name w:val="Enlace de Internet"/>
    <w:uiPriority w:val="99"/>
    <w:unhideWhenUsed/>
    <w:rsid w:val="00dc7f10"/>
    <w:rPr>
      <w:color w:val="0000FF"/>
      <w:u w:val="single"/>
    </w:rPr>
  </w:style>
  <w:style w:type="character" w:styleId="HTMLconformatoprevioCar" w:customStyle="1">
    <w:name w:val="HTML con formato previo Car"/>
    <w:basedOn w:val="DefaultParagraphFont"/>
    <w:link w:val="HTMLconformatoprevio"/>
    <w:uiPriority w:val="99"/>
    <w:qFormat/>
    <w:rsid w:val="00ff6a92"/>
    <w:rPr>
      <w:rFonts w:ascii="Courier New" w:hAnsi="Courier New" w:eastAsia="Times New Roman" w:cs="Courier New"/>
      <w:sz w:val="20"/>
      <w:szCs w:val="20"/>
      <w:lang w:eastAsia="es-ES"/>
    </w:rPr>
  </w:style>
  <w:style w:type="character" w:styleId="TextodegloboCar" w:customStyle="1">
    <w:name w:val="Texto de globo Car"/>
    <w:basedOn w:val="DefaultParagraphFont"/>
    <w:link w:val="Textodeglobo"/>
    <w:uiPriority w:val="99"/>
    <w:semiHidden/>
    <w:qFormat/>
    <w:rsid w:val="0043696b"/>
    <w:rPr>
      <w:rFonts w:ascii="Tahoma" w:hAnsi="Tahoma" w:eastAsia="Times" w:cs="Tahoma"/>
      <w:sz w:val="16"/>
      <w:szCs w:val="16"/>
      <w:lang w:val="en-US" w:eastAsia="es-ES"/>
    </w:rPr>
  </w:style>
  <w:style w:type="character" w:styleId="EncabezadoCar" w:customStyle="1">
    <w:name w:val="Encabezado Car"/>
    <w:basedOn w:val="DefaultParagraphFont"/>
    <w:link w:val="Encabezado"/>
    <w:uiPriority w:val="99"/>
    <w:qFormat/>
    <w:rsid w:val="00935e22"/>
    <w:rPr>
      <w:rFonts w:ascii="Times" w:hAnsi="Times" w:eastAsia="Times" w:cs="Times New Roman"/>
      <w:sz w:val="24"/>
      <w:szCs w:val="20"/>
      <w:lang w:val="en-US" w:eastAsia="es-ES"/>
    </w:rPr>
  </w:style>
  <w:style w:type="character" w:styleId="PiedepginaCar" w:customStyle="1">
    <w:name w:val="Pie de página Car"/>
    <w:basedOn w:val="DefaultParagraphFont"/>
    <w:link w:val="Piedepgina"/>
    <w:uiPriority w:val="99"/>
    <w:qFormat/>
    <w:rsid w:val="00935e22"/>
    <w:rPr>
      <w:rFonts w:ascii="Times" w:hAnsi="Times" w:eastAsia="Times" w:cs="Times New Roman"/>
      <w:sz w:val="24"/>
      <w:szCs w:val="20"/>
      <w:lang w:val="en-US" w:eastAsia="es-ES"/>
    </w:rPr>
  </w:style>
  <w:style w:type="character" w:styleId="FollowedHyperlink">
    <w:name w:val="FollowedHyperlink"/>
    <w:basedOn w:val="DefaultParagraphFont"/>
    <w:uiPriority w:val="99"/>
    <w:semiHidden/>
    <w:unhideWhenUsed/>
    <w:qFormat/>
    <w:rsid w:val="00b841f7"/>
    <w:rPr>
      <w:color w:val="800080" w:themeColor="followedHyperlink"/>
      <w:u w:val="single"/>
    </w:rPr>
  </w:style>
  <w:style w:type="character" w:styleId="Docsources" w:customStyle="1">
    <w:name w:val="doc-sources"/>
    <w:basedOn w:val="DefaultParagraphFont"/>
    <w:qFormat/>
    <w:rsid w:val="000f3e62"/>
    <w:rPr/>
  </w:style>
  <w:style w:type="character" w:styleId="Ttulo2Car" w:customStyle="1">
    <w:name w:val="Título 2 Car"/>
    <w:basedOn w:val="DefaultParagraphFont"/>
    <w:link w:val="Ttulo2"/>
    <w:uiPriority w:val="9"/>
    <w:qFormat/>
    <w:rsid w:val="00de0bc5"/>
    <w:rPr>
      <w:rFonts w:ascii="Times New Roman" w:hAnsi="Times New Roman" w:eastAsia="Times New Roman" w:cs="Times New Roman"/>
      <w:b/>
      <w:bCs/>
      <w:sz w:val="36"/>
      <w:szCs w:val="36"/>
      <w:lang w:eastAsia="es-ES"/>
    </w:rPr>
  </w:style>
  <w:style w:type="character" w:styleId="Ttulo1Car" w:customStyle="1">
    <w:name w:val="Título 1 Car"/>
    <w:basedOn w:val="DefaultParagraphFont"/>
    <w:link w:val="Ttulo1"/>
    <w:uiPriority w:val="9"/>
    <w:qFormat/>
    <w:rsid w:val="007216f4"/>
    <w:rPr>
      <w:rFonts w:ascii="Cambria" w:hAnsi="Cambria" w:eastAsia="" w:cs="" w:asciiTheme="majorHAnsi" w:cstheme="majorBidi" w:eastAsiaTheme="majorEastAsia" w:hAnsiTheme="majorHAnsi"/>
      <w:b/>
      <w:bCs/>
      <w:color w:val="365F91" w:themeColor="accent1" w:themeShade="bf"/>
      <w:sz w:val="28"/>
      <w:szCs w:val="28"/>
      <w:lang w:val="en-US" w:eastAsia="es-ES"/>
    </w:rPr>
  </w:style>
  <w:style w:type="character" w:styleId="Strong">
    <w:name w:val="Strong"/>
    <w:basedOn w:val="DefaultParagraphFont"/>
    <w:uiPriority w:val="22"/>
    <w:qFormat/>
    <w:rsid w:val="00b82263"/>
    <w:rPr>
      <w:b/>
      <w:bCs/>
    </w:rPr>
  </w:style>
  <w:style w:type="character" w:styleId="ListLabel1" w:customStyle="1">
    <w:name w:val="ListLabel 1"/>
    <w:qFormat/>
    <w:rPr>
      <w:sz w:val="20"/>
    </w:rPr>
  </w:style>
  <w:style w:type="character" w:styleId="ListLabel2" w:customStyle="1">
    <w:name w:val="ListLabel 2"/>
    <w:qFormat/>
    <w:rPr>
      <w:sz w:val="20"/>
    </w:rPr>
  </w:style>
  <w:style w:type="character" w:styleId="ListLabel3" w:customStyle="1">
    <w:name w:val="ListLabel 3"/>
    <w:qFormat/>
    <w:rPr>
      <w:sz w:val="20"/>
    </w:rPr>
  </w:style>
  <w:style w:type="character" w:styleId="ListLabel4" w:customStyle="1">
    <w:name w:val="ListLabel 4"/>
    <w:qFormat/>
    <w:rPr>
      <w:sz w:val="20"/>
    </w:rPr>
  </w:style>
  <w:style w:type="character" w:styleId="ListLabel5" w:customStyle="1">
    <w:name w:val="ListLabel 5"/>
    <w:qFormat/>
    <w:rPr>
      <w:sz w:val="20"/>
    </w:rPr>
  </w:style>
  <w:style w:type="character" w:styleId="ListLabel6" w:customStyle="1">
    <w:name w:val="ListLabel 6"/>
    <w:qFormat/>
    <w:rPr>
      <w:sz w:val="20"/>
    </w:rPr>
  </w:style>
  <w:style w:type="character" w:styleId="ListLabel7" w:customStyle="1">
    <w:name w:val="ListLabel 7"/>
    <w:qFormat/>
    <w:rPr>
      <w:sz w:val="20"/>
    </w:rPr>
  </w:style>
  <w:style w:type="character" w:styleId="ListLabel8" w:customStyle="1">
    <w:name w:val="ListLabel 8"/>
    <w:qFormat/>
    <w:rPr>
      <w:sz w:val="20"/>
    </w:rPr>
  </w:style>
  <w:style w:type="character" w:styleId="ListLabel9" w:customStyle="1">
    <w:name w:val="ListLabel 9"/>
    <w:qFormat/>
    <w:rPr>
      <w:sz w:val="20"/>
    </w:rPr>
  </w:style>
  <w:style w:type="character" w:styleId="ListLabel10" w:customStyle="1">
    <w:name w:val="ListLabel 10"/>
    <w:qFormat/>
    <w:rPr>
      <w:rFonts w:cs="Courier New"/>
    </w:rPr>
  </w:style>
  <w:style w:type="character" w:styleId="ListLabel11" w:customStyle="1">
    <w:name w:val="ListLabel 11"/>
    <w:qFormat/>
    <w:rPr>
      <w:rFonts w:cs="Courier New"/>
    </w:rPr>
  </w:style>
  <w:style w:type="character" w:styleId="ListLabel12" w:customStyle="1">
    <w:name w:val="ListLabel 12"/>
    <w:qFormat/>
    <w:rPr>
      <w:rFonts w:cs="Courier New"/>
    </w:rPr>
  </w:style>
  <w:style w:type="character" w:styleId="Caracteresdenotaalpie" w:customStyle="1">
    <w:name w:val="Caracteres de nota al pie"/>
    <w:qFormat/>
    <w:rPr/>
  </w:style>
  <w:style w:type="character" w:styleId="Ancladenotaalpie" w:customStyle="1">
    <w:name w:val="Ancla de nota al pie"/>
    <w:rPr>
      <w:vertAlign w:val="superscript"/>
    </w:rPr>
  </w:style>
  <w:style w:type="character" w:styleId="Smbolosdenumeracin">
    <w:name w:val="Símbolos de numeración"/>
    <w:qFormat/>
    <w:rPr/>
  </w:style>
  <w:style w:type="character" w:styleId="Muydestacado">
    <w:name w:val="Muy destacado"/>
    <w:qFormat/>
    <w:rPr>
      <w:b/>
      <w:bCs/>
    </w:rPr>
  </w:style>
  <w:style w:type="paragraph" w:styleId="Encabezado">
    <w:name w:val="Encabezado"/>
    <w:basedOn w:val="Normal"/>
    <w:next w:val="Cuerpodetexto"/>
    <w:qFormat/>
    <w:pPr>
      <w:keepNext/>
      <w:spacing w:before="240" w:after="120"/>
    </w:pPr>
    <w:rPr>
      <w:rFonts w:ascii="Liberation Sans" w:hAnsi="Liberation Sans" w:eastAsia="Noto Sans CJK SC Regular" w:cs="FreeSans"/>
      <w:sz w:val="28"/>
      <w:szCs w:val="28"/>
    </w:rPr>
  </w:style>
  <w:style w:type="paragraph" w:styleId="Cuerpodetexto">
    <w:name w:val="Body Text"/>
    <w:basedOn w:val="Normal"/>
    <w:pPr>
      <w:spacing w:lineRule="auto" w:line="288" w:before="0" w:after="140"/>
    </w:pPr>
    <w:rPr/>
  </w:style>
  <w:style w:type="paragraph" w:styleId="Lista">
    <w:name w:val="List"/>
    <w:basedOn w:val="Cuerpodetexto"/>
    <w:pPr/>
    <w:rPr>
      <w:rFonts w:ascii="Cambria" w:hAnsi="Cambria" w:cs="FreeSans"/>
    </w:rPr>
  </w:style>
  <w:style w:type="paragraph" w:styleId="Leyenda">
    <w:name w:val="Caption"/>
    <w:basedOn w:val="Normal"/>
    <w:qFormat/>
    <w:pPr>
      <w:suppressLineNumbers/>
      <w:spacing w:before="120" w:after="120"/>
    </w:pPr>
    <w:rPr>
      <w:rFonts w:ascii="Cambria" w:hAnsi="Cambria" w:cs="FreeSans"/>
      <w:i/>
      <w:iCs/>
      <w:sz w:val="24"/>
      <w:szCs w:val="24"/>
    </w:rPr>
  </w:style>
  <w:style w:type="paragraph" w:styleId="Ndice" w:customStyle="1">
    <w:name w:val="Índice"/>
    <w:basedOn w:val="Normal"/>
    <w:qFormat/>
    <w:pPr>
      <w:suppressLineNumbers/>
    </w:pPr>
    <w:rPr>
      <w:rFonts w:ascii="Cambria" w:hAnsi="Cambria" w:cs="FreeSans"/>
    </w:rPr>
  </w:style>
  <w:style w:type="paragraph" w:styleId="Encabezamiento">
    <w:name w:val="Header"/>
    <w:basedOn w:val="Normal"/>
    <w:link w:val="EncabezadoCar"/>
    <w:uiPriority w:val="99"/>
    <w:unhideWhenUsed/>
    <w:rsid w:val="00935e22"/>
    <w:pPr>
      <w:tabs>
        <w:tab w:val="center" w:pos="4252" w:leader="none"/>
        <w:tab w:val="right" w:pos="8504" w:leader="none"/>
      </w:tabs>
    </w:pPr>
    <w:rPr/>
  </w:style>
  <w:style w:type="paragraph" w:styleId="Caption">
    <w:name w:val="caption"/>
    <w:basedOn w:val="Normal"/>
    <w:qFormat/>
    <w:pPr>
      <w:suppressLineNumbers/>
      <w:spacing w:before="120" w:after="120"/>
    </w:pPr>
    <w:rPr>
      <w:rFonts w:ascii="Cambria" w:hAnsi="Cambria" w:cs="FreeSans"/>
      <w:i/>
      <w:iCs/>
      <w:szCs w:val="24"/>
    </w:rPr>
  </w:style>
  <w:style w:type="paragraph" w:styleId="ListParagraph">
    <w:name w:val="List Paragraph"/>
    <w:basedOn w:val="Normal"/>
    <w:uiPriority w:val="34"/>
    <w:qFormat/>
    <w:rsid w:val="00176928"/>
    <w:pPr>
      <w:spacing w:before="0" w:after="0"/>
      <w:ind w:left="720" w:hanging="0"/>
      <w:contextualSpacing/>
    </w:pPr>
    <w:rPr/>
  </w:style>
  <w:style w:type="paragraph" w:styleId="Footnotetext">
    <w:name w:val="footnote text"/>
    <w:basedOn w:val="Normal"/>
    <w:link w:val="TextonotapieCar"/>
    <w:qFormat/>
    <w:pPr/>
    <w:rPr/>
  </w:style>
  <w:style w:type="paragraph" w:styleId="Default" w:customStyle="1">
    <w:name w:val="Default"/>
    <w:qFormat/>
    <w:rsid w:val="009a2dcd"/>
    <w:pPr>
      <w:widowControl/>
      <w:bidi w:val="0"/>
      <w:jc w:val="left"/>
    </w:pPr>
    <w:rPr>
      <w:rFonts w:ascii="Corbel" w:hAnsi="Corbel" w:eastAsia="Calibri" w:cs="Corbel"/>
      <w:color w:val="000000"/>
      <w:sz w:val="24"/>
      <w:szCs w:val="24"/>
      <w:lang w:val="es-ES" w:eastAsia="en-US" w:bidi="ar-SA"/>
    </w:rPr>
  </w:style>
  <w:style w:type="paragraph" w:styleId="Textoformularios" w:customStyle="1">
    <w:name w:val="Texto formularios"/>
    <w:basedOn w:val="Normal"/>
    <w:next w:val="Normal"/>
    <w:qFormat/>
    <w:rsid w:val="00fe22b3"/>
    <w:pPr>
      <w:widowControl w:val="false"/>
      <w:tabs>
        <w:tab w:val="left" w:pos="1134" w:leader="none"/>
      </w:tabs>
      <w:spacing w:before="0" w:after="57"/>
      <w:ind w:firstLine="283"/>
      <w:jc w:val="both"/>
    </w:pPr>
    <w:rPr>
      <w:rFonts w:ascii="Stone Sans" w:hAnsi="Stone Sans" w:eastAsia="Times New Roman"/>
      <w:sz w:val="20"/>
      <w:lang w:val="es-ES"/>
    </w:rPr>
  </w:style>
  <w:style w:type="paragraph" w:styleId="NormalWeb">
    <w:name w:val="Normal (Web)"/>
    <w:basedOn w:val="Normal"/>
    <w:uiPriority w:val="99"/>
    <w:unhideWhenUsed/>
    <w:qFormat/>
    <w:rsid w:val="00ff6a92"/>
    <w:pPr>
      <w:spacing w:beforeAutospacing="1" w:afterAutospacing="1"/>
    </w:pPr>
    <w:rPr>
      <w:rFonts w:ascii="Times New Roman" w:hAnsi="Times New Roman" w:eastAsia="Times New Roman"/>
      <w:szCs w:val="24"/>
      <w:lang w:val="es-ES"/>
    </w:rPr>
  </w:style>
  <w:style w:type="paragraph" w:styleId="HTMLPreformatted">
    <w:name w:val="HTML Preformatted"/>
    <w:basedOn w:val="Normal"/>
    <w:link w:val="HTMLconformatoprevioCar"/>
    <w:uiPriority w:val="99"/>
    <w:unhideWhenUsed/>
    <w:qFormat/>
    <w:rsid w:val="00ff6a92"/>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eastAsia="Times New Roman" w:cs="Courier New"/>
      <w:sz w:val="20"/>
      <w:lang w:val="es-ES"/>
    </w:rPr>
  </w:style>
  <w:style w:type="paragraph" w:styleId="Docmetadata" w:customStyle="1">
    <w:name w:val="doc-metadata"/>
    <w:basedOn w:val="Normal"/>
    <w:qFormat/>
    <w:rsid w:val="00ff6a92"/>
    <w:pPr>
      <w:spacing w:beforeAutospacing="1" w:afterAutospacing="1"/>
    </w:pPr>
    <w:rPr>
      <w:rFonts w:ascii="Times New Roman" w:hAnsi="Times New Roman" w:eastAsia="Times New Roman"/>
      <w:szCs w:val="24"/>
      <w:lang w:val="es-ES"/>
    </w:rPr>
  </w:style>
  <w:style w:type="paragraph" w:styleId="M653863891825536084gmailmsolistparagraph" w:customStyle="1">
    <w:name w:val="m_-653863891825536084gmail-msolistparagraph"/>
    <w:basedOn w:val="Normal"/>
    <w:qFormat/>
    <w:rsid w:val="006a6c29"/>
    <w:pPr>
      <w:spacing w:beforeAutospacing="1" w:afterAutospacing="1"/>
    </w:pPr>
    <w:rPr>
      <w:rFonts w:ascii="Times New Roman" w:hAnsi="Times New Roman" w:eastAsia="Times New Roman"/>
      <w:szCs w:val="24"/>
      <w:lang w:val="es-ES"/>
    </w:rPr>
  </w:style>
  <w:style w:type="paragraph" w:styleId="BalloonText">
    <w:name w:val="Balloon Text"/>
    <w:basedOn w:val="Normal"/>
    <w:link w:val="TextodegloboCar"/>
    <w:uiPriority w:val="99"/>
    <w:semiHidden/>
    <w:unhideWhenUsed/>
    <w:qFormat/>
    <w:rsid w:val="0043696b"/>
    <w:pPr/>
    <w:rPr>
      <w:rFonts w:ascii="Tahoma" w:hAnsi="Tahoma" w:cs="Tahoma"/>
      <w:sz w:val="16"/>
      <w:szCs w:val="16"/>
    </w:rPr>
  </w:style>
  <w:style w:type="paragraph" w:styleId="Piedepgina">
    <w:name w:val="Footer"/>
    <w:basedOn w:val="Normal"/>
    <w:link w:val="PiedepginaCar"/>
    <w:uiPriority w:val="99"/>
    <w:unhideWhenUsed/>
    <w:rsid w:val="00935e22"/>
    <w:pPr>
      <w:tabs>
        <w:tab w:val="center" w:pos="4252" w:leader="none"/>
        <w:tab w:val="right" w:pos="8504" w:leader="none"/>
      </w:tabs>
    </w:pPr>
    <w:rPr/>
  </w:style>
  <w:style w:type="paragraph" w:styleId="Contenidodelmarco" w:customStyle="1">
    <w:name w:val="Contenido del marco"/>
    <w:basedOn w:val="Normal"/>
    <w:qFormat/>
    <w:pPr/>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XXXXXXX@XXX.com" TargetMode="External"/><Relationship Id="rId3" Type="http://schemas.openxmlformats.org/officeDocument/2006/relationships/hyperlink" Target="https://acogidasalamanca.wordpress.com/requisitos-proteccion-internacional/" TargetMode="Externa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4FF780-197C-4246-A1D1-E0C7D3933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Application>LibreOffice/5.1.6.2$Linux_x86 LibreOffice_project/10m0$Build-2</Application>
  <Pages>6</Pages>
  <Words>2364</Words>
  <Characters>12662</Characters>
  <CharactersWithSpaces>14982</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2020-10-06T12:51:00Z</dcterms:created>
  <dc:creator>Gabriel de la Mora</dc:creator>
  <dc:description/>
  <dc:language>es-ES</dc:language>
  <cp:lastModifiedBy>Gabriel de la Mora</cp:lastModifiedBy>
  <cp:lastPrinted>2020-10-09T06:37:00Z</cp:lastPrinted>
  <dcterms:modified xsi:type="dcterms:W3CDTF">2021-05-28T12:44:31Z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