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rFonts w:ascii="Nimbus Roman No9 L" w:hAnsi="Nimbus Roman No9 L" w:eastAsia="Times New Roman" w:cs="Segoe UI"/>
          <w:b/>
          <w:b/>
          <w:sz w:val="20"/>
          <w:lang w:val="es-ES"/>
        </w:rPr>
      </w:pPr>
      <w:r>
        <w:rPr>
          <w:rFonts w:eastAsia="Times New Roman" w:cs="Segoe UI" w:ascii="Nimbus Roman No9 L" w:hAnsi="Nimbus Roman No9 L"/>
          <w:b/>
          <w:sz w:val="20"/>
          <w:lang w:val="es-ES"/>
        </w:rPr>
        <w:t>Expediente Nº: XXXXXXXXXXX</w:t>
      </w:r>
    </w:p>
    <w:p>
      <w:pPr>
        <w:pStyle w:val="Normal"/>
        <w:jc w:val="center"/>
        <w:rPr>
          <w:rFonts w:ascii="Nimbus Roman No9 L" w:hAnsi="Nimbus Roman No9 L" w:eastAsia="Times New Roman" w:cs="Segoe UI"/>
          <w:b/>
          <w:b/>
          <w:szCs w:val="24"/>
          <w:lang w:val="es-ES"/>
        </w:rPr>
      </w:pPr>
      <w:r>
        <w:rPr>
          <w:rFonts w:eastAsia="Times New Roman" w:cs="Segoe UI" w:ascii="Nimbus Roman No9 L" w:hAnsi="Nimbus Roman No9 L"/>
          <w:b/>
          <w:szCs w:val="24"/>
          <w:lang w:val="es-ES"/>
        </w:rPr>
      </w:r>
    </w:p>
    <w:p>
      <w:pPr>
        <w:pStyle w:val="Normal"/>
        <w:jc w:val="center"/>
        <w:rPr>
          <w:rFonts w:ascii="Nimbus Roman No9 L" w:hAnsi="Nimbus Roman No9 L" w:eastAsia="Times New Roman" w:cs="Segoe UI"/>
          <w:b/>
          <w:b/>
          <w:szCs w:val="24"/>
          <w:lang w:val="es-ES"/>
        </w:rPr>
      </w:pPr>
      <w:r>
        <w:rPr>
          <w:rFonts w:eastAsia="Times New Roman" w:cs="Segoe UI" w:ascii="Nimbus Roman No9 L" w:hAnsi="Nimbus Roman No9 L"/>
          <w:b/>
          <w:szCs w:val="24"/>
          <w:lang w:val="es-ES"/>
        </w:rPr>
        <w:t>A LA S.G. DE PROTECCIÓN INTERNACIONAL – OFICINA DE ASILO Y REFUGIO - MINISTERIO DEL INTERIOR</w:t>
      </w:r>
    </w:p>
    <w:p>
      <w:pPr>
        <w:pStyle w:val="Normal"/>
        <w:jc w:val="center"/>
        <w:rPr>
          <w:rFonts w:ascii="Nimbus Roman No9 L" w:hAnsi="Nimbus Roman No9 L" w:eastAsia="Times New Roman" w:cs="Segoe UI"/>
          <w:b/>
          <w:b/>
          <w:szCs w:val="24"/>
          <w:lang w:val="es-ES"/>
        </w:rPr>
      </w:pPr>
      <w:r>
        <w:rPr>
          <w:rFonts w:eastAsia="Times New Roman" w:cs="Segoe UI" w:ascii="Nimbus Roman No9 L" w:hAnsi="Nimbus Roman No9 L"/>
          <w:b/>
          <w:szCs w:val="24"/>
          <w:lang w:val="es-ES"/>
        </w:rPr>
      </w:r>
    </w:p>
    <w:p>
      <w:pPr>
        <w:pStyle w:val="Normal"/>
        <w:spacing w:lineRule="auto" w:line="240"/>
        <w:jc w:val="center"/>
        <w:rPr>
          <w:rFonts w:ascii="Nimbus Roman No9 L" w:hAnsi="Nimbus Roman No9 L" w:eastAsia="Times New Roman" w:cs="Segoe UI"/>
          <w:szCs w:val="24"/>
          <w:lang w:val="es-ES"/>
        </w:rPr>
      </w:pPr>
      <w:r>
        <w:rPr>
          <w:rFonts w:eastAsia="Times New Roman" w:cs="Segoe UI" w:ascii="Nimbus Roman No9 L" w:hAnsi="Nimbus Roman No9 L"/>
          <w:szCs w:val="24"/>
          <w:lang w:val="es-ES"/>
        </w:rPr>
        <w:t>C/ San Fernando del Jarama, 14</w:t>
      </w:r>
    </w:p>
    <w:p>
      <w:pPr>
        <w:pStyle w:val="Normal"/>
        <w:spacing w:lineRule="auto" w:line="240"/>
        <w:jc w:val="center"/>
        <w:rPr>
          <w:rFonts w:ascii="Nimbus Roman No9 L" w:hAnsi="Nimbus Roman No9 L" w:eastAsia="Times New Roman" w:cs="Segoe UI"/>
          <w:szCs w:val="24"/>
          <w:lang w:val="es-ES"/>
        </w:rPr>
      </w:pPr>
      <w:r>
        <w:rPr>
          <w:rFonts w:eastAsia="Times New Roman" w:cs="Segoe UI" w:ascii="Nimbus Roman No9 L" w:hAnsi="Nimbus Roman No9 L"/>
          <w:szCs w:val="24"/>
          <w:lang w:val="es-ES"/>
        </w:rPr>
        <w:t>28002 Madrid</w:t>
      </w:r>
    </w:p>
    <w:p>
      <w:pPr>
        <w:pStyle w:val="Normal"/>
        <w:spacing w:lineRule="auto" w:line="240"/>
        <w:jc w:val="center"/>
        <w:rPr>
          <w:rFonts w:ascii="Nimbus Roman No9 L" w:hAnsi="Nimbus Roman No9 L" w:eastAsia="Times New Roman" w:cs="Segoe UI"/>
          <w:b/>
          <w:b/>
          <w:szCs w:val="24"/>
          <w:lang w:val="es-ES"/>
        </w:rPr>
      </w:pPr>
      <w:r>
        <w:rPr>
          <w:rFonts w:eastAsia="Times New Roman" w:cs="Segoe UI" w:ascii="Nimbus Roman No9 L" w:hAnsi="Nimbus Roman No9 L"/>
          <w:b/>
          <w:szCs w:val="24"/>
          <w:lang w:val="es-ES"/>
        </w:rPr>
      </w:r>
    </w:p>
    <w:p>
      <w:pPr>
        <w:pStyle w:val="Normal"/>
        <w:spacing w:lineRule="auto" w:line="240"/>
        <w:jc w:val="both"/>
        <w:rPr/>
      </w:pPr>
      <w:r>
        <w:rPr>
          <w:rFonts w:eastAsia="Times New Roman" w:cs="Segoe UI" w:ascii="Nimbus Roman No9 L" w:hAnsi="Nimbus Roman No9 L"/>
          <w:b/>
          <w:szCs w:val="24"/>
          <w:lang w:val="es-ES"/>
        </w:rPr>
        <w:t>NOMBRE Y APELLIDOS</w:t>
      </w:r>
      <w:r>
        <w:rPr>
          <w:rFonts w:cs="Segoe UI" w:ascii="Nimbus Roman No9 L" w:hAnsi="Nimbus Roman No9 L"/>
          <w:b/>
          <w:szCs w:val="24"/>
          <w:lang w:val="es-ES"/>
        </w:rPr>
        <w:t xml:space="preserve">, </w:t>
      </w:r>
      <w:r>
        <w:rPr>
          <w:rFonts w:cs="Segoe UI" w:ascii="Nimbus Roman No9 L" w:hAnsi="Nimbus Roman No9 L"/>
          <w:szCs w:val="24"/>
          <w:lang w:val="es-ES"/>
        </w:rPr>
        <w:t>mayor de edad, provista de NIE número XXXXXXXXXX y pasaporte XXXXXXXXXXX</w:t>
      </w:r>
      <w:r>
        <w:rPr>
          <w:rFonts w:cs="Segoe UI" w:ascii="Nimbus Roman No9 L" w:hAnsi="Nimbus Roman No9 L"/>
          <w:szCs w:val="24"/>
          <w:lang w:val="es-ES"/>
        </w:rPr>
        <w:t xml:space="preserve">; </w:t>
      </w:r>
      <w:r>
        <w:rPr>
          <w:rFonts w:cs="Segoe UI" w:ascii="Nimbus Roman No9 L" w:hAnsi="Nimbus Roman No9 L"/>
          <w:szCs w:val="24"/>
          <w:lang w:val="es-ES"/>
        </w:rPr>
        <w:t>cuyas circunstancias ya constan en el expediente referenciado, ante ustedes comparece y, como mejor proceda en Derecho</w:t>
      </w:r>
    </w:p>
    <w:p>
      <w:pPr>
        <w:pStyle w:val="Normal"/>
        <w:spacing w:lineRule="auto" w:line="240"/>
        <w:jc w:val="both"/>
        <w:rPr>
          <w:rFonts w:ascii="Nimbus Roman No9 L" w:hAnsi="Nimbus Roman No9 L" w:cs="Segoe UI"/>
          <w:szCs w:val="24"/>
          <w:lang w:val="es-ES"/>
        </w:rPr>
      </w:pPr>
      <w:r>
        <w:rPr>
          <w:rFonts w:cs="Segoe UI" w:ascii="Nimbus Roman No9 L" w:hAnsi="Nimbus Roman No9 L"/>
          <w:szCs w:val="24"/>
          <w:lang w:val="es-ES"/>
        </w:rPr>
      </w:r>
    </w:p>
    <w:p>
      <w:pPr>
        <w:pStyle w:val="Normal"/>
        <w:spacing w:lineRule="auto" w:line="240"/>
        <w:jc w:val="center"/>
        <w:rPr>
          <w:rFonts w:ascii="Nimbus Roman No9 L" w:hAnsi="Nimbus Roman No9 L" w:cs="Segoe UI"/>
          <w:b/>
          <w:b/>
          <w:szCs w:val="24"/>
          <w:lang w:val="es-ES"/>
        </w:rPr>
      </w:pPr>
      <w:r>
        <w:rPr>
          <w:rFonts w:cs="Segoe UI" w:ascii="Nimbus Roman No9 L" w:hAnsi="Nimbus Roman No9 L"/>
          <w:b/>
          <w:szCs w:val="24"/>
          <w:lang w:val="es-ES"/>
        </w:rPr>
        <w:t>EXPONE</w:t>
      </w:r>
    </w:p>
    <w:p>
      <w:pPr>
        <w:pStyle w:val="Normal"/>
        <w:spacing w:lineRule="auto" w:line="240"/>
        <w:jc w:val="both"/>
        <w:rPr>
          <w:rFonts w:ascii="Nimbus Roman No9 L" w:hAnsi="Nimbus Roman No9 L" w:cs="Segoe UI"/>
          <w:szCs w:val="24"/>
          <w:lang w:val="es-ES"/>
        </w:rPr>
      </w:pPr>
      <w:r>
        <w:rPr>
          <w:rFonts w:cs="Segoe UI" w:ascii="Nimbus Roman No9 L" w:hAnsi="Nimbus Roman No9 L"/>
          <w:szCs w:val="24"/>
          <w:lang w:val="es-ES"/>
        </w:rPr>
      </w:r>
    </w:p>
    <w:p>
      <w:pPr>
        <w:pStyle w:val="Normal"/>
        <w:spacing w:lineRule="auto" w:line="240"/>
        <w:jc w:val="both"/>
        <w:rPr/>
      </w:pPr>
      <w:r>
        <w:rPr>
          <w:rFonts w:cs="Segoe UI" w:ascii="Nimbus Roman No9 L" w:hAnsi="Nimbus Roman No9 L"/>
          <w:szCs w:val="24"/>
          <w:lang w:val="es-ES"/>
        </w:rPr>
        <w:t xml:space="preserve">Que me ha sido notificada por la Comisión Interministerial de Asilo y Refugio RESOLUCIÓN DE DENEGACIÓN DE ASILO Y LA PROTECCIÓN SUBSIDIARIA dictada en el expediente arriba referenciado y encontrando la misma contraria a Derecho y lesiva a mis intereses, por medio del presente escrito viene a presentar el siguiente </w:t>
      </w:r>
      <w:r>
        <w:rPr>
          <w:rFonts w:cs="Segoe UI" w:ascii="Nimbus Roman No9 L" w:hAnsi="Nimbus Roman No9 L"/>
          <w:b/>
          <w:szCs w:val="24"/>
          <w:lang w:val="es-ES"/>
        </w:rPr>
        <w:t xml:space="preserve">RECURSO DE REPOSICIÓN </w:t>
      </w:r>
      <w:r>
        <w:rPr>
          <w:rFonts w:cs="Segoe UI" w:ascii="Nimbus Roman No9 L" w:hAnsi="Nimbus Roman No9 L"/>
          <w:szCs w:val="24"/>
          <w:lang w:val="es-ES"/>
        </w:rPr>
        <w:t xml:space="preserve">con base en los siguientes </w:t>
      </w:r>
      <w:r>
        <w:rPr>
          <w:rFonts w:cs="Segoe UI" w:ascii="Nimbus Roman No9 L" w:hAnsi="Nimbus Roman No9 L"/>
          <w:b/>
          <w:bCs/>
          <w:szCs w:val="24"/>
          <w:lang w:val="es-ES"/>
        </w:rPr>
        <w:t>MOTIVOS:</w:t>
      </w:r>
    </w:p>
    <w:p>
      <w:pPr>
        <w:pStyle w:val="Normal"/>
        <w:spacing w:lineRule="auto" w:line="240"/>
        <w:jc w:val="both"/>
        <w:rPr>
          <w:rFonts w:ascii="Nimbus Roman No9 L" w:hAnsi="Nimbus Roman No9 L" w:eastAsia="Times New Roman" w:cs="Segoe UI"/>
          <w:b/>
          <w:b/>
          <w:szCs w:val="24"/>
          <w:lang w:val="es-ES"/>
        </w:rPr>
      </w:pPr>
      <w:r>
        <w:rPr>
          <w:rFonts w:eastAsia="Times New Roman" w:cs="Segoe UI" w:ascii="Nimbus Roman No9 L" w:hAnsi="Nimbus Roman No9 L"/>
          <w:b/>
          <w:szCs w:val="24"/>
          <w:lang w:val="es-ES"/>
        </w:rPr>
      </w:r>
    </w:p>
    <w:p>
      <w:pPr>
        <w:pStyle w:val="Normal"/>
        <w:spacing w:lineRule="auto" w:line="240"/>
        <w:jc w:val="both"/>
        <w:rPr>
          <w:rFonts w:ascii="Nimbus Roman No9 L" w:hAnsi="Nimbus Roman No9 L"/>
          <w:lang w:val="es-ES"/>
        </w:rPr>
      </w:pPr>
      <w:r>
        <w:rPr>
          <w:rFonts w:eastAsia="Times New Roman" w:cs="Segoe UI" w:ascii="Nimbus Roman No9 L" w:hAnsi="Nimbus Roman No9 L"/>
          <w:b/>
          <w:szCs w:val="24"/>
          <w:lang w:val="es-ES"/>
        </w:rPr>
        <w:t>ÚNICO</w:t>
      </w:r>
      <w:r>
        <w:rPr>
          <w:rFonts w:cs="Segoe UI" w:ascii="Nimbus Roman No9 L" w:hAnsi="Nimbus Roman No9 L"/>
          <w:b/>
          <w:color w:val="000000"/>
          <w:szCs w:val="24"/>
          <w:lang w:val="es-ES"/>
        </w:rPr>
        <w:t xml:space="preserve">.- </w:t>
      </w:r>
      <w:r>
        <w:rPr>
          <w:rFonts w:eastAsia="Times New Roman" w:cs="Segoe UI" w:ascii="Nimbus Roman No9 L" w:hAnsi="Nimbus Roman No9 L"/>
          <w:b/>
          <w:szCs w:val="24"/>
          <w:lang w:val="es-ES"/>
        </w:rPr>
        <w:t>Sobre la falta de motivación para la denegación de la protección internacional</w:t>
      </w:r>
    </w:p>
    <w:p>
      <w:pPr>
        <w:pStyle w:val="Normal"/>
        <w:spacing w:lineRule="auto" w:line="240"/>
        <w:jc w:val="both"/>
        <w:rPr>
          <w:rFonts w:ascii="Nimbus Roman No9 L" w:hAnsi="Nimbus Roman No9 L" w:eastAsia="Times New Roman" w:cs="Segoe UI"/>
          <w:b/>
          <w:b/>
          <w:szCs w:val="24"/>
          <w:lang w:val="es-ES"/>
        </w:rPr>
      </w:pPr>
      <w:r>
        <w:rPr>
          <w:rFonts w:eastAsia="Times New Roman" w:cs="Segoe UI" w:ascii="Nimbus Roman No9 L" w:hAnsi="Nimbus Roman No9 L"/>
          <w:b/>
          <w:szCs w:val="24"/>
          <w:lang w:val="es-ES"/>
        </w:rPr>
      </w:r>
    </w:p>
    <w:p>
      <w:pPr>
        <w:pStyle w:val="Normal"/>
        <w:spacing w:lineRule="auto" w:line="240"/>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t>La resolución impugnada no reconoce la necesidad de protección internacional por lo que tiene como efecto la devolución al país de origen y supone en sí misma una vulneración de derechos fundamentales, en el sentido apuntado en el art. 10 de la Ley de Asilo y en art. 15 de la Directiva 2004/83/CE de Reconocimiento, la cual conecta de forma con el art. 19 de la Carta de Derechos Fundamentales de la UE que establece la prohibición de devolución, expulsión o extradición de quien “corra un grave riesgo de ser sometido a la pena de muerte, a tortura o a otras penas o tratos inhumanos o degradantes”, o el art. 3 del Convenio Europeo de Derechos Humanos (CEDH), que también se refiere a la prohibición de torturas, penas o trato inhumano o degradante, entre otros convenios internacionales.</w:t>
      </w:r>
    </w:p>
    <w:p>
      <w:pPr>
        <w:pStyle w:val="Normal"/>
        <w:spacing w:lineRule="auto" w:line="240"/>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spacing w:lineRule="auto" w:line="240"/>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t xml:space="preserve">En este sentido entiendo que no se ha valorado adecuadamente la situación de persecución, motivos de la misma y pertenencia a colectivo social determinado, la </w:t>
      </w:r>
      <w:r>
        <w:rPr>
          <w:rFonts w:eastAsia="Times New Roman" w:cs="Segoe UI" w:ascii="Nimbus Roman No9 L" w:hAnsi="Nimbus Roman No9 L"/>
          <w:b/>
          <w:szCs w:val="24"/>
          <w:lang w:val="es-ES"/>
        </w:rPr>
        <w:t>situación actual en Colombia</w:t>
      </w:r>
      <w:r>
        <w:rPr>
          <w:rFonts w:eastAsia="Times New Roman" w:cs="Segoe UI" w:ascii="Nimbus Roman No9 L" w:hAnsi="Nimbus Roman No9 L"/>
          <w:szCs w:val="24"/>
          <w:lang w:val="es-ES"/>
        </w:rPr>
        <w:t xml:space="preserve"> o el elevado riesgo a sufrir graves daños, motivo por el cual tuve que huir dado que las amenazas sufridas si no son atendidas acaban en desapariciones y asesinatos, no siendo posible que vuelva de ningún modo.</w:t>
      </w:r>
    </w:p>
    <w:p>
      <w:pPr>
        <w:pStyle w:val="Normal"/>
        <w:spacing w:lineRule="auto" w:line="240"/>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spacing w:lineRule="auto" w:line="240"/>
        <w:jc w:val="both"/>
        <w:rPr>
          <w:rFonts w:ascii="Nimbus Roman No9 L" w:hAnsi="Nimbus Roman No9 L" w:eastAsia="Times New Roman" w:cs="Segoe UI"/>
          <w:b/>
          <w:b/>
        </w:rPr>
      </w:pPr>
      <w:r>
        <w:rPr>
          <w:rFonts w:eastAsia="Times New Roman" w:cs="Segoe UI" w:ascii="Nimbus Roman No9 L" w:hAnsi="Nimbus Roman No9 L"/>
          <w:szCs w:val="24"/>
          <w:lang w:val="es-ES"/>
        </w:rPr>
        <w:t>Además, esta situación se produce en todo el país, por lo que no es posible el desplazamiento interno, sin que sea identificada y sometida a represalias por parte de los grupos responsables. Por ello, cabría otorgar la protección subsidiaria, la cual se ha rechazado, argumentando que el conflicto no está extendiendo a todo el país, no obstante, ni es necesario que lo esté para la concesión de esta protección, ni tampoco se ha valorado el riesgo a sufrir trato degradante ni la situación de violencia indiscriminada contra la población civil y, en particular, para colectivos determinados como el que pertenezco y razón de mi persecución.</w:t>
      </w:r>
    </w:p>
    <w:p>
      <w:pPr>
        <w:pStyle w:val="Default"/>
        <w:spacing w:lineRule="auto" w:line="240"/>
        <w:jc w:val="both"/>
        <w:rPr>
          <w:rFonts w:ascii="Nimbus Roman No9 L" w:hAnsi="Nimbus Roman No9 L" w:cs="Segoe UI"/>
          <w:color w:val="00000A"/>
        </w:rPr>
      </w:pPr>
      <w:r>
        <w:rPr>
          <w:rFonts w:cs="Segoe UI" w:ascii="Nimbus Roman No9 L" w:hAnsi="Nimbus Roman No9 L"/>
          <w:color w:val="00000A"/>
        </w:rPr>
      </w:r>
    </w:p>
    <w:p>
      <w:pPr>
        <w:pStyle w:val="Default"/>
        <w:spacing w:lineRule="auto" w:line="240"/>
        <w:jc w:val="both"/>
        <w:rPr>
          <w:rFonts w:ascii="Nimbus Roman No9 L" w:hAnsi="Nimbus Roman No9 L"/>
        </w:rPr>
      </w:pPr>
      <w:r>
        <w:rPr>
          <w:rFonts w:eastAsia="Times New Roman" w:cs="Segoe UI" w:ascii="Nimbus Roman No9 L" w:hAnsi="Nimbus Roman No9 L"/>
          <w:color w:val="00000A"/>
        </w:rPr>
        <w:t>Por lo expuesto</w:t>
      </w:r>
    </w:p>
    <w:p>
      <w:pPr>
        <w:pStyle w:val="Default"/>
        <w:spacing w:lineRule="auto" w:line="240"/>
        <w:jc w:val="both"/>
        <w:rPr>
          <w:rFonts w:ascii="Nimbus Roman No9 L" w:hAnsi="Nimbus Roman No9 L"/>
        </w:rPr>
      </w:pPr>
      <w:r>
        <w:rPr>
          <w:rFonts w:eastAsia="Times New Roman" w:cs="Segoe UI" w:ascii="Nimbus Roman No9 L" w:hAnsi="Nimbus Roman No9 L"/>
          <w:color w:val="00000A"/>
        </w:rPr>
        <w:t xml:space="preserve"> </w:t>
      </w:r>
    </w:p>
    <w:p>
      <w:pPr>
        <w:pStyle w:val="Normal"/>
        <w:spacing w:lineRule="auto" w:line="240"/>
        <w:jc w:val="both"/>
        <w:rPr>
          <w:rFonts w:ascii="Nimbus Roman No9 L" w:hAnsi="Nimbus Roman No9 L" w:eastAsia="Times New Roman" w:cs="Segoe UI"/>
          <w:szCs w:val="24"/>
          <w:lang w:val="es-ES"/>
        </w:rPr>
      </w:pPr>
      <w:bookmarkStart w:id="0" w:name="_GoBack"/>
      <w:bookmarkEnd w:id="0"/>
      <w:r>
        <w:rPr>
          <w:rFonts w:eastAsia="Times New Roman" w:cs="Segoe UI" w:ascii="Nimbus Roman No9 L" w:hAnsi="Nimbus Roman No9 L"/>
          <w:b/>
          <w:szCs w:val="24"/>
          <w:lang w:val="es-ES"/>
        </w:rPr>
        <w:t>SOLICITO</w:t>
      </w:r>
      <w:r>
        <w:rPr>
          <w:rFonts w:eastAsia="Times New Roman" w:cs="Segoe UI" w:ascii="Nimbus Roman No9 L" w:hAnsi="Nimbus Roman No9 L"/>
          <w:szCs w:val="24"/>
          <w:lang w:val="es-ES"/>
        </w:rPr>
        <w:t xml:space="preserve"> que teniéndose por presentado este escrito, se tenga en cuenta lo anterior, y se proceda a declarar la nulidad de la resolución, se revoque y se reconozca la condición de refugiados, la protección subsidiaria o, en su caso, la concesión de permiso por razones humanitarias de protección internacional.</w:t>
      </w:r>
    </w:p>
    <w:p>
      <w:pPr>
        <w:pStyle w:val="Normal"/>
        <w:spacing w:lineRule="auto" w:line="240"/>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spacing w:lineRule="auto" w:line="240"/>
        <w:jc w:val="both"/>
        <w:rPr/>
      </w:pPr>
      <w:r>
        <w:rPr>
          <w:rFonts w:eastAsia="Times New Roman" w:cs="Segoe UI" w:ascii="Nimbus Roman No9 L" w:hAnsi="Nimbus Roman No9 L"/>
          <w:b/>
          <w:szCs w:val="24"/>
          <w:lang w:val="es-ES"/>
        </w:rPr>
        <w:t>OTROSÍ PRIMERO DIGO</w:t>
      </w:r>
      <w:r>
        <w:rPr>
          <w:rFonts w:eastAsia="Times New Roman" w:cs="Segoe UI" w:ascii="Nimbus Roman No9 L" w:hAnsi="Nimbus Roman No9 L"/>
          <w:szCs w:val="24"/>
          <w:lang w:val="es-ES"/>
        </w:rPr>
        <w:t xml:space="preserve"> que </w:t>
      </w:r>
      <w:r>
        <w:rPr>
          <w:rFonts w:eastAsia="Times New Roman" w:cs="Segoe UI" w:ascii="Nimbus Roman No9 L" w:hAnsi="Nimbus Roman No9 L"/>
          <w:b/>
          <w:bCs/>
          <w:szCs w:val="24"/>
          <w:lang w:val="es-ES"/>
        </w:rPr>
        <w:t>SE DECLARE LA SUSPENSIÓN CAUTELAR DE LOS EFECTOS DE LA RESOLUCIÓN</w:t>
      </w:r>
      <w:r>
        <w:rPr>
          <w:rFonts w:eastAsia="Times New Roman" w:cs="Segoe UI" w:ascii="Nimbus Roman No9 L" w:hAnsi="Nimbus Roman No9 L"/>
          <w:szCs w:val="24"/>
          <w:lang w:val="es-ES"/>
        </w:rPr>
        <w:t xml:space="preserve"> impugnada </w:t>
      </w:r>
      <w:r>
        <w:rPr>
          <w:rFonts w:eastAsia="Times New Roman" w:cs="Segoe UI" w:ascii="Nimbus Roman No9 L" w:hAnsi="Nimbus Roman No9 L"/>
          <w:szCs w:val="24"/>
          <w:lang w:val="es-ES"/>
        </w:rPr>
        <w:t xml:space="preserve">según </w:t>
      </w:r>
      <w:r>
        <w:rPr>
          <w:rFonts w:eastAsia="Times New Roman" w:cs="Segoe UI" w:ascii="Nimbus Roman No9 L" w:hAnsi="Nimbus Roman No9 L"/>
          <w:szCs w:val="24"/>
          <w:lang w:val="es-ES"/>
        </w:rPr>
        <w:t xml:space="preserve">el artículo 117 de la Ley 39/2015, de 1 de octubre y, en todo caso, que se reconozca la </w:t>
      </w:r>
      <w:r>
        <w:rPr>
          <w:rFonts w:eastAsia="Times New Roman" w:cs="Segoe UI" w:ascii="Nimbus Roman No9 L" w:hAnsi="Nimbus Roman No9 L"/>
          <w:b/>
          <w:szCs w:val="24"/>
          <w:lang w:val="es-ES"/>
        </w:rPr>
        <w:t>SUSPENSIÓN AUTOMÁTICA</w:t>
      </w:r>
      <w:r>
        <w:rPr>
          <w:rFonts w:eastAsia="Times New Roman" w:cs="Segoe UI" w:ascii="Nimbus Roman No9 L" w:hAnsi="Nimbus Roman No9 L"/>
          <w:szCs w:val="24"/>
          <w:lang w:val="es-ES"/>
        </w:rPr>
        <w:t xml:space="preserve"> de los efectos de la resolución por la interposición del presente recurso conforme:</w:t>
      </w:r>
    </w:p>
    <w:p>
      <w:pPr>
        <w:pStyle w:val="Normal"/>
        <w:spacing w:lineRule="auto" w:line="240"/>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t xml:space="preserve"> </w:t>
      </w:r>
    </w:p>
    <w:p>
      <w:pPr>
        <w:pStyle w:val="Normal"/>
        <w:spacing w:lineRule="auto" w:line="240"/>
        <w:jc w:val="both"/>
        <w:rPr/>
      </w:pPr>
      <w:r>
        <w:rPr>
          <w:rFonts w:eastAsia="Times New Roman" w:cs="Segoe UI" w:ascii="Nimbus Roman No9 L" w:hAnsi="Nimbus Roman No9 L"/>
          <w:b/>
          <w:szCs w:val="24"/>
          <w:lang w:val="es-ES"/>
        </w:rPr>
        <w:t>(i) Artículo 46.5 de la Directiva 2013/32/UE</w:t>
      </w:r>
      <w:r>
        <w:rPr>
          <w:rFonts w:eastAsia="Times New Roman" w:cs="Segoe UI" w:ascii="Nimbus Roman No9 L" w:hAnsi="Nimbus Roman No9 L"/>
          <w:szCs w:val="24"/>
          <w:lang w:val="es-ES"/>
        </w:rPr>
        <w:t xml:space="preserve"> sobre procedimientos comunes para la concesión o la retirada de la protección internacional (“los Estados miembros permitirán que los solicitantes permanezcan en el territorio hasta que haya expirado el plazo dentro del cual pueden ejercer su derecho a un recurso efectivo y, cuando se haya ejercitado ese derecho dentro del plazo, en espera del resultado del recurso”), </w:t>
      </w:r>
      <w:r>
        <w:rPr>
          <w:rFonts w:eastAsia="Times New Roman" w:cs="Segoe UI" w:ascii="Nimbus Roman No9 L" w:hAnsi="Nimbus Roman No9 L"/>
          <w:szCs w:val="24"/>
          <w:lang w:val="es-ES"/>
        </w:rPr>
        <w:t>interpretado por la STJUE de 17 de diciembre de 2020.</w:t>
      </w:r>
    </w:p>
    <w:p>
      <w:pPr>
        <w:pStyle w:val="Normal"/>
        <w:spacing w:lineRule="auto" w:line="240"/>
        <w:jc w:val="both"/>
        <w:rPr>
          <w:rFonts w:ascii="Nimbus Roman No9 L" w:hAnsi="Nimbus Roman No9 L" w:eastAsia="Times New Roman" w:cs="Segoe UI"/>
          <w:szCs w:val="24"/>
          <w:lang w:val="es-ES"/>
        </w:rPr>
      </w:pPr>
      <w:r>
        <w:rPr/>
      </w:r>
    </w:p>
    <w:p>
      <w:pPr>
        <w:pStyle w:val="Normal"/>
        <w:spacing w:lineRule="auto" w:line="240"/>
        <w:jc w:val="both"/>
        <w:rPr/>
      </w:pPr>
      <w:r>
        <w:rPr>
          <w:rFonts w:eastAsia="Times New Roman" w:cs="Segoe UI" w:ascii="Nimbus Roman No9 L" w:hAnsi="Nimbus Roman No9 L"/>
          <w:b/>
          <w:szCs w:val="24"/>
          <w:lang w:val="es-ES"/>
        </w:rPr>
        <w:t>(ii) Los artículos 18 (derecho de asilo), 19 (principio de no devolución) y 47</w:t>
      </w:r>
      <w:r>
        <w:rPr>
          <w:rFonts w:eastAsia="Times New Roman" w:cs="Segoe UI" w:ascii="Nimbus Roman No9 L" w:hAnsi="Nimbus Roman No9 L"/>
          <w:szCs w:val="24"/>
          <w:lang w:val="es-ES"/>
        </w:rPr>
        <w:t xml:space="preserve"> (tutela judicial efectiva) de la Carta de los Derechos Fundamentales de la Unión Europea, y conforme a la interpretación derivada de los artículos 3 (prohibición de la tortura) y 13 (derecho a un recurso efectivo) del Convenio Europeo de Derechos Humanos.</w:t>
      </w:r>
    </w:p>
    <w:p>
      <w:pPr>
        <w:pStyle w:val="Normal"/>
        <w:spacing w:lineRule="auto" w:line="240"/>
        <w:jc w:val="both"/>
        <w:rPr>
          <w:rFonts w:ascii="Nimbus Roman No9 L" w:hAnsi="Nimbus Roman No9 L" w:eastAsia="Times New Roman" w:cs="Segoe UI"/>
          <w:szCs w:val="24"/>
          <w:lang w:val="es-ES"/>
        </w:rPr>
      </w:pPr>
      <w:r>
        <w:rPr/>
      </w:r>
    </w:p>
    <w:p>
      <w:pPr>
        <w:pStyle w:val="Normal"/>
        <w:spacing w:lineRule="auto" w:line="240"/>
        <w:jc w:val="both"/>
        <w:rPr/>
      </w:pPr>
      <w:r>
        <w:rPr>
          <w:rFonts w:eastAsia="Times New Roman" w:cs="Segoe UI" w:ascii="Nimbus Roman No9 L" w:hAnsi="Nimbus Roman No9 L"/>
          <w:b/>
          <w:szCs w:val="24"/>
          <w:lang w:val="es-ES"/>
        </w:rPr>
        <w:t>(iii) Artículo 2 (definiciones) de las Directivas 2013/32 y 2013/33 UE</w:t>
      </w:r>
      <w:r>
        <w:rPr>
          <w:rFonts w:eastAsia="Times New Roman" w:cs="Segoe UI" w:ascii="Nimbus Roman No9 L" w:hAnsi="Nimbus Roman No9 L"/>
          <w:szCs w:val="24"/>
          <w:lang w:val="es-ES"/>
        </w:rPr>
        <w:t xml:space="preserve"> que definen como “solicitante” al “nacional de un tercer país o apátrida que haya formulado una solicitud de protección internacional sobre la cual todavía no se haya dictado una resolución definitiva” en relación con el art. 18.1 de la Ley 12/2009 reguladora del Derecho de Asilo epígrafe a) (derecho de los solicitantes a ser documentados) y d) (suspensión de cualquier proceso de retorno).</w:t>
      </w:r>
    </w:p>
    <w:p>
      <w:pPr>
        <w:pStyle w:val="Normal"/>
        <w:spacing w:lineRule="auto" w:line="240"/>
        <w:jc w:val="both"/>
        <w:rPr>
          <w:rFonts w:ascii="Nimbus Roman No9 L" w:hAnsi="Nimbus Roman No9 L" w:eastAsia="Times New Roman" w:cs="Segoe UI"/>
          <w:szCs w:val="24"/>
          <w:lang w:val="es-ES"/>
        </w:rPr>
      </w:pPr>
      <w:r>
        <w:rPr/>
      </w:r>
    </w:p>
    <w:p>
      <w:pPr>
        <w:pStyle w:val="Normal"/>
        <w:spacing w:lineRule="auto" w:line="240"/>
        <w:jc w:val="both"/>
        <w:rPr/>
      </w:pPr>
      <w:r>
        <w:rPr>
          <w:rFonts w:eastAsia="Times New Roman" w:cs="Segoe UI" w:ascii="Nimbus Roman No9 L" w:hAnsi="Nimbus Roman No9 L"/>
          <w:b/>
          <w:szCs w:val="24"/>
          <w:lang w:val="es-ES"/>
        </w:rPr>
        <w:t xml:space="preserve"> </w:t>
      </w:r>
      <w:r>
        <w:rPr>
          <w:rFonts w:eastAsia="Times New Roman" w:cs="Segoe UI" w:ascii="Nimbus Roman No9 L" w:hAnsi="Nimbus Roman No9 L"/>
          <w:b/>
          <w:szCs w:val="24"/>
          <w:lang w:val="es-ES"/>
        </w:rPr>
        <w:t>(iv) Artículo 15.3 de la Directiva 2013/33/UE</w:t>
      </w:r>
      <w:r>
        <w:rPr>
          <w:rFonts w:eastAsia="Times New Roman" w:cs="Segoe UI" w:ascii="Nimbus Roman No9 L" w:hAnsi="Nimbus Roman No9 L"/>
          <w:szCs w:val="24"/>
          <w:lang w:val="es-ES"/>
        </w:rPr>
        <w:t xml:space="preserve"> por la que se aprueban normas para la acogida de los solicitantes de protección internacional (“no se privará al solicitante del acceso al mercado de trabajo cuando se interponga un recurso, que tenga efectos suspensivos, contra una decisión negativa tomada en un procedimiento ordinario, hasta la notificación de su desestimación”), </w:t>
      </w:r>
      <w:r>
        <w:rPr>
          <w:rFonts w:eastAsia="Times New Roman" w:cs="Segoe UI" w:ascii="Nimbus Roman No9 L" w:hAnsi="Nimbus Roman No9 L"/>
          <w:szCs w:val="24"/>
          <w:lang w:val="es-ES"/>
        </w:rPr>
        <w:t>interpretado por la STJUE de 14 de enero de 2021.</w:t>
      </w:r>
    </w:p>
    <w:p>
      <w:pPr>
        <w:pStyle w:val="Normal"/>
        <w:spacing w:lineRule="auto" w:line="240"/>
        <w:jc w:val="both"/>
        <w:rPr/>
      </w:pPr>
      <w:r>
        <w:rPr>
          <w:rFonts w:eastAsia="Times New Roman" w:cs="Segoe UI" w:ascii="Nimbus Roman No9 L" w:hAnsi="Nimbus Roman No9 L"/>
          <w:szCs w:val="24"/>
          <w:lang w:val="es-ES"/>
        </w:rPr>
        <w:t xml:space="preserve">Dicha suspensión conlleva dejar sin efecto la orden de salida del país manteniendo la correspondiente autorización de permanencia provisional en tanto no recaiga una resolución definitiva, el derecho a trabajar del recurrente y la documentación identificativa acreditativa de todo ello, a todos los efectos y mientras se resuelva el asunto de forma definitiva, conforme </w:t>
      </w:r>
      <w:r>
        <w:rPr>
          <w:rFonts w:eastAsia="Times New Roman" w:cs="Segoe UI" w:ascii="Nimbus Roman No9 L" w:hAnsi="Nimbus Roman No9 L"/>
          <w:szCs w:val="24"/>
          <w:lang w:val="es-ES"/>
        </w:rPr>
        <w:t>reiterada jurisprudencia del TJUE</w:t>
      </w:r>
      <w:r>
        <w:rPr>
          <w:rFonts w:eastAsia="Times New Roman" w:cs="Segoe UI" w:ascii="Nimbus Roman No9 L" w:hAnsi="Nimbus Roman No9 L"/>
          <w:szCs w:val="24"/>
          <w:lang w:val="es-ES"/>
        </w:rPr>
        <w:t>.</w:t>
      </w:r>
    </w:p>
    <w:p>
      <w:pPr>
        <w:pStyle w:val="Normal"/>
        <w:spacing w:lineRule="auto" w:line="240"/>
        <w:ind w:firstLine="708"/>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spacing w:lineRule="auto" w:line="240" w:before="0" w:after="200"/>
        <w:jc w:val="center"/>
        <w:rPr/>
      </w:pPr>
      <w:r>
        <w:rPr>
          <w:rFonts w:eastAsia="Times New Roman" w:cs="Segoe UI" w:ascii="Nimbus Roman No9 L" w:hAnsi="Nimbus Roman No9 L"/>
          <w:szCs w:val="24"/>
          <w:lang w:val="es-ES"/>
        </w:rPr>
        <w:t>Es de Justicia, en XXXXXXXX a XX de XXX de 2021</w:t>
      </w:r>
    </w:p>
    <w:sectPr>
      <w:headerReference w:type="default" r:id="rId2"/>
      <w:footerReference w:type="default" r:id="rId3"/>
      <w:type w:val="nextPage"/>
      <w:pgSz w:w="11906" w:h="16838"/>
      <w:pgMar w:left="1701" w:right="1701" w:header="482" w:top="825" w:footer="708" w:bottom="1417"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w:altName w:val="Times New Roman"/>
    <w:charset w:val="01"/>
    <w:family w:val="roman"/>
    <w:pitch w:val="default"/>
  </w:font>
  <w:font w:name="Cambria">
    <w:charset w:val="01"/>
    <w:family w:val="roman"/>
    <w:pitch w:val="default"/>
  </w:font>
  <w:font w:name="Times New Roman">
    <w:charset w:val="01"/>
    <w:family w:val="roman"/>
    <w:pitch w:val="default"/>
  </w:font>
  <w:font w:name="Courier New">
    <w:charset w:val="01"/>
    <w:family w:val="roman"/>
    <w:pitch w:val="default"/>
  </w:font>
  <w:font w:name="Tahoma">
    <w:charset w:val="01"/>
    <w:family w:val="roman"/>
    <w:pitch w:val="default"/>
  </w:font>
  <w:font w:name="Liberation Sans">
    <w:altName w:val="Arial"/>
    <w:charset w:val="01"/>
    <w:family w:val="swiss"/>
    <w:pitch w:val="variable"/>
  </w:font>
  <w:font w:name="Corbel">
    <w:charset w:val="01"/>
    <w:family w:val="roman"/>
    <w:pitch w:val="default"/>
  </w:font>
  <w:font w:name="Stone Sans">
    <w:charset w:val="01"/>
    <w:family w:val="roman"/>
    <w:pitch w:val="default"/>
  </w:font>
  <w:font w:name="Nimbus Roman No9 L">
    <w:altName w:val="Times New Roman"/>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873996426"/>
    </w:sdtPr>
    <w:sdtContent>
      <w:p>
        <w:pPr>
          <w:pStyle w:val="Piedepgina"/>
          <w:jc w:val="right"/>
          <w:rPr/>
        </w:pPr>
        <w:r>
          <w:rPr/>
          <w:fldChar w:fldCharType="begin"/>
        </w:r>
        <w:r>
          <w:instrText> PAGE </w:instrText>
        </w:r>
        <w:r>
          <w:fldChar w:fldCharType="separate"/>
        </w:r>
        <w:r>
          <w:t>2</w:t>
        </w:r>
        <w:r>
          <w:fldChar w:fldCharType="end"/>
        </w:r>
        <w:r>
          <w:rPr/>
          <w:t>/2</w:t>
        </w:r>
      </w:p>
      <w:p>
        <w:pPr>
          <w:pStyle w:val="Piedepgina"/>
          <w:rPr/>
        </w:pPr>
        <w:r>
          <w:rPr/>
        </w:r>
      </w:p>
    </w:sdtContent>
  </w:sdt>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cabezamiento"/>
      <w:rPr/>
    </w:pPr>
    <w:r>
      <w:rPr>
        <w:lang w:val="es-ES"/>
      </w:rPr>
      <w:tab/>
    </w:r>
  </w:p>
</w:hdr>
</file>

<file path=word/settings.xml><?xml version="1.0" encoding="utf-8"?>
<w:settings xmlns:w="http://schemas.openxmlformats.org/wordprocessingml/2006/main">
  <w:zoom w:percent="14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s-E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96021"/>
    <w:pPr>
      <w:widowControl/>
      <w:bidi w:val="0"/>
      <w:jc w:val="left"/>
    </w:pPr>
    <w:rPr>
      <w:rFonts w:ascii="Times" w:hAnsi="Times" w:eastAsia="Times" w:cs="Times New Roman"/>
      <w:color w:val="00000A"/>
      <w:sz w:val="24"/>
      <w:szCs w:val="20"/>
      <w:lang w:val="en-US" w:eastAsia="es-ES" w:bidi="ar-SA"/>
    </w:rPr>
  </w:style>
  <w:style w:type="paragraph" w:styleId="Encabezado1">
    <w:name w:val="Heading 1"/>
    <w:basedOn w:val="Normal"/>
    <w:next w:val="Normal"/>
    <w:link w:val="Ttulo1Car"/>
    <w:uiPriority w:val="9"/>
    <w:qFormat/>
    <w:rsid w:val="007216f4"/>
    <w:pPr>
      <w:keepNext/>
      <w:keepLines/>
      <w:spacing w:before="480" w:after="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Encabezado2">
    <w:name w:val="Heading 2"/>
    <w:basedOn w:val="Normal"/>
    <w:link w:val="Ttulo2Car"/>
    <w:uiPriority w:val="9"/>
    <w:qFormat/>
    <w:rsid w:val="00de0bc5"/>
    <w:pPr>
      <w:spacing w:beforeAutospacing="1" w:afterAutospacing="1"/>
      <w:outlineLvl w:val="1"/>
    </w:pPr>
    <w:rPr>
      <w:rFonts w:ascii="Times New Roman" w:hAnsi="Times New Roman" w:eastAsia="Times New Roman"/>
      <w:b/>
      <w:bCs/>
      <w:sz w:val="36"/>
      <w:szCs w:val="36"/>
      <w:lang w:val="es-ES"/>
    </w:rPr>
  </w:style>
  <w:style w:type="paragraph" w:styleId="Encabezado5">
    <w:name w:val="Heading 5"/>
    <w:basedOn w:val="Encabezamiento"/>
    <w:qFormat/>
    <w:pPr>
      <w:outlineLvl w:val="4"/>
    </w:pPr>
    <w:rPr/>
  </w:style>
  <w:style w:type="character" w:styleId="DefaultParagraphFont" w:default="1">
    <w:name w:val="Default Paragraph Font"/>
    <w:uiPriority w:val="1"/>
    <w:semiHidden/>
    <w:unhideWhenUsed/>
    <w:qFormat/>
    <w:rPr/>
  </w:style>
  <w:style w:type="character" w:styleId="TextonotapieCar" w:customStyle="1">
    <w:name w:val="Texto nota pie Car"/>
    <w:basedOn w:val="DefaultParagraphFont"/>
    <w:link w:val="Textonotapie"/>
    <w:uiPriority w:val="99"/>
    <w:qFormat/>
    <w:rsid w:val="00dc7f10"/>
    <w:rPr>
      <w:rFonts w:ascii="Times" w:hAnsi="Times" w:eastAsia="Times" w:cs="Times New Roman"/>
      <w:sz w:val="20"/>
      <w:szCs w:val="20"/>
      <w:lang w:val="en-US" w:eastAsia="es-ES"/>
    </w:rPr>
  </w:style>
  <w:style w:type="character" w:styleId="Footnotereference">
    <w:name w:val="footnote reference"/>
    <w:unhideWhenUsed/>
    <w:qFormat/>
    <w:rsid w:val="00dc7f10"/>
    <w:rPr>
      <w:vertAlign w:val="superscript"/>
    </w:rPr>
  </w:style>
  <w:style w:type="character" w:styleId="EnlacedeInternet" w:customStyle="1">
    <w:name w:val="Enlace de Internet"/>
    <w:uiPriority w:val="99"/>
    <w:unhideWhenUsed/>
    <w:rsid w:val="00dc7f10"/>
    <w:rPr>
      <w:color w:val="0000FF"/>
      <w:u w:val="single"/>
    </w:rPr>
  </w:style>
  <w:style w:type="character" w:styleId="HTMLconformatoprevioCar" w:customStyle="1">
    <w:name w:val="HTML con formato previo Car"/>
    <w:basedOn w:val="DefaultParagraphFont"/>
    <w:link w:val="HTMLconformatoprevio"/>
    <w:uiPriority w:val="99"/>
    <w:qFormat/>
    <w:rsid w:val="00ff6a92"/>
    <w:rPr>
      <w:rFonts w:ascii="Courier New" w:hAnsi="Courier New" w:eastAsia="Times New Roman" w:cs="Courier New"/>
      <w:sz w:val="20"/>
      <w:szCs w:val="20"/>
      <w:lang w:eastAsia="es-ES"/>
    </w:rPr>
  </w:style>
  <w:style w:type="character" w:styleId="TextodegloboCar" w:customStyle="1">
    <w:name w:val="Texto de globo Car"/>
    <w:basedOn w:val="DefaultParagraphFont"/>
    <w:link w:val="Textodeglobo"/>
    <w:uiPriority w:val="99"/>
    <w:semiHidden/>
    <w:qFormat/>
    <w:rsid w:val="0043696b"/>
    <w:rPr>
      <w:rFonts w:ascii="Tahoma" w:hAnsi="Tahoma" w:eastAsia="Times" w:cs="Tahoma"/>
      <w:sz w:val="16"/>
      <w:szCs w:val="16"/>
      <w:lang w:val="en-US" w:eastAsia="es-ES"/>
    </w:rPr>
  </w:style>
  <w:style w:type="character" w:styleId="EncabezadoCar" w:customStyle="1">
    <w:name w:val="Encabezado Car"/>
    <w:basedOn w:val="DefaultParagraphFont"/>
    <w:link w:val="Encabezado"/>
    <w:uiPriority w:val="99"/>
    <w:qFormat/>
    <w:rsid w:val="00935e22"/>
    <w:rPr>
      <w:rFonts w:ascii="Times" w:hAnsi="Times" w:eastAsia="Times" w:cs="Times New Roman"/>
      <w:sz w:val="24"/>
      <w:szCs w:val="20"/>
      <w:lang w:val="en-US" w:eastAsia="es-ES"/>
    </w:rPr>
  </w:style>
  <w:style w:type="character" w:styleId="PiedepginaCar" w:customStyle="1">
    <w:name w:val="Pie de página Car"/>
    <w:basedOn w:val="DefaultParagraphFont"/>
    <w:link w:val="Piedepgina"/>
    <w:uiPriority w:val="99"/>
    <w:qFormat/>
    <w:rsid w:val="00935e22"/>
    <w:rPr>
      <w:rFonts w:ascii="Times" w:hAnsi="Times" w:eastAsia="Times" w:cs="Times New Roman"/>
      <w:sz w:val="24"/>
      <w:szCs w:val="20"/>
      <w:lang w:val="en-US" w:eastAsia="es-ES"/>
    </w:rPr>
  </w:style>
  <w:style w:type="character" w:styleId="FollowedHyperlink">
    <w:name w:val="FollowedHyperlink"/>
    <w:basedOn w:val="DefaultParagraphFont"/>
    <w:uiPriority w:val="99"/>
    <w:semiHidden/>
    <w:unhideWhenUsed/>
    <w:qFormat/>
    <w:rsid w:val="00b841f7"/>
    <w:rPr>
      <w:color w:val="800080" w:themeColor="followedHyperlink"/>
      <w:u w:val="single"/>
    </w:rPr>
  </w:style>
  <w:style w:type="character" w:styleId="Docsources" w:customStyle="1">
    <w:name w:val="doc-sources"/>
    <w:basedOn w:val="DefaultParagraphFont"/>
    <w:qFormat/>
    <w:rsid w:val="000f3e62"/>
    <w:rPr/>
  </w:style>
  <w:style w:type="character" w:styleId="Ttulo2Car" w:customStyle="1">
    <w:name w:val="Título 2 Car"/>
    <w:basedOn w:val="DefaultParagraphFont"/>
    <w:link w:val="Ttulo2"/>
    <w:uiPriority w:val="9"/>
    <w:qFormat/>
    <w:rsid w:val="00de0bc5"/>
    <w:rPr>
      <w:rFonts w:ascii="Times New Roman" w:hAnsi="Times New Roman" w:eastAsia="Times New Roman" w:cs="Times New Roman"/>
      <w:b/>
      <w:bCs/>
      <w:sz w:val="36"/>
      <w:szCs w:val="36"/>
      <w:lang w:eastAsia="es-ES"/>
    </w:rPr>
  </w:style>
  <w:style w:type="character" w:styleId="Ttulo1Car" w:customStyle="1">
    <w:name w:val="Título 1 Car"/>
    <w:basedOn w:val="DefaultParagraphFont"/>
    <w:link w:val="Ttulo1"/>
    <w:uiPriority w:val="9"/>
    <w:qFormat/>
    <w:rsid w:val="007216f4"/>
    <w:rPr>
      <w:rFonts w:ascii="Cambria" w:hAnsi="Cambria" w:eastAsia="" w:cs="" w:asciiTheme="majorHAnsi" w:cstheme="majorBidi" w:eastAsiaTheme="majorEastAsia" w:hAnsiTheme="majorHAnsi"/>
      <w:b/>
      <w:bCs/>
      <w:color w:val="365F91" w:themeColor="accent1" w:themeShade="bf"/>
      <w:sz w:val="28"/>
      <w:szCs w:val="28"/>
      <w:lang w:val="en-US" w:eastAsia="es-ES"/>
    </w:rPr>
  </w:style>
  <w:style w:type="character" w:styleId="Strong">
    <w:name w:val="Strong"/>
    <w:basedOn w:val="DefaultParagraphFont"/>
    <w:uiPriority w:val="22"/>
    <w:qFormat/>
    <w:rsid w:val="00b82263"/>
    <w:rPr>
      <w:b/>
      <w:bCs/>
    </w:rPr>
  </w:style>
  <w:style w:type="character" w:styleId="ListLabel1" w:customStyle="1">
    <w:name w:val="ListLabel 1"/>
    <w:qFormat/>
    <w:rPr>
      <w:sz w:val="20"/>
    </w:rPr>
  </w:style>
  <w:style w:type="character" w:styleId="ListLabel2" w:customStyle="1">
    <w:name w:val="ListLabel 2"/>
    <w:qFormat/>
    <w:rPr>
      <w:sz w:val="20"/>
    </w:rPr>
  </w:style>
  <w:style w:type="character" w:styleId="ListLabel3" w:customStyle="1">
    <w:name w:val="ListLabel 3"/>
    <w:qFormat/>
    <w:rPr>
      <w:sz w:val="20"/>
    </w:rPr>
  </w:style>
  <w:style w:type="character" w:styleId="ListLabel4" w:customStyle="1">
    <w:name w:val="ListLabel 4"/>
    <w:qFormat/>
    <w:rPr>
      <w:sz w:val="20"/>
    </w:rPr>
  </w:style>
  <w:style w:type="character" w:styleId="ListLabel5" w:customStyle="1">
    <w:name w:val="ListLabel 5"/>
    <w:qFormat/>
    <w:rPr>
      <w:sz w:val="20"/>
    </w:rPr>
  </w:style>
  <w:style w:type="character" w:styleId="ListLabel6" w:customStyle="1">
    <w:name w:val="ListLabel 6"/>
    <w:qFormat/>
    <w:rPr>
      <w:sz w:val="20"/>
    </w:rPr>
  </w:style>
  <w:style w:type="character" w:styleId="ListLabel7" w:customStyle="1">
    <w:name w:val="ListLabel 7"/>
    <w:qFormat/>
    <w:rPr>
      <w:sz w:val="20"/>
    </w:rPr>
  </w:style>
  <w:style w:type="character" w:styleId="ListLabel8" w:customStyle="1">
    <w:name w:val="ListLabel 8"/>
    <w:qFormat/>
    <w:rPr>
      <w:sz w:val="20"/>
    </w:rPr>
  </w:style>
  <w:style w:type="character" w:styleId="ListLabel9" w:customStyle="1">
    <w:name w:val="ListLabel 9"/>
    <w:qFormat/>
    <w:rPr>
      <w:sz w:val="20"/>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Caracteresdenotaalpie" w:customStyle="1">
    <w:name w:val="Caracteres de nota al pie"/>
    <w:qFormat/>
    <w:rPr/>
  </w:style>
  <w:style w:type="character" w:styleId="Ancladenotaalpie" w:customStyle="1">
    <w:name w:val="Ancla de nota al pie"/>
    <w:rPr>
      <w:vertAlign w:val="superscript"/>
    </w:rPr>
  </w:style>
  <w:style w:type="paragraph" w:styleId="Encabezado">
    <w:name w:val="Encabezado"/>
    <w:basedOn w:val="Normal"/>
    <w:next w:val="Cuerpodetexto"/>
    <w:qFormat/>
    <w:pPr>
      <w:keepNext/>
      <w:spacing w:before="240" w:after="120"/>
    </w:pPr>
    <w:rPr>
      <w:rFonts w:ascii="Liberation Sans" w:hAnsi="Liberation Sans" w:eastAsia="Noto Sans CJK SC Regular" w:cs="FreeSans"/>
      <w:sz w:val="28"/>
      <w:szCs w:val="28"/>
    </w:rPr>
  </w:style>
  <w:style w:type="paragraph" w:styleId="Cuerpodetexto">
    <w:name w:val="Body Text"/>
    <w:basedOn w:val="Normal"/>
    <w:pPr>
      <w:spacing w:lineRule="auto" w:line="288" w:before="0" w:after="140"/>
    </w:pPr>
    <w:rPr/>
  </w:style>
  <w:style w:type="paragraph" w:styleId="Lista">
    <w:name w:val="List"/>
    <w:basedOn w:val="Cuerpodetexto"/>
    <w:pPr/>
    <w:rPr>
      <w:rFonts w:ascii="Cambria" w:hAnsi="Cambria" w:cs="FreeSans"/>
    </w:rPr>
  </w:style>
  <w:style w:type="paragraph" w:styleId="Leyenda">
    <w:name w:val="Caption"/>
    <w:basedOn w:val="Normal"/>
    <w:qFormat/>
    <w:pPr>
      <w:suppressLineNumbers/>
      <w:spacing w:before="120" w:after="120"/>
    </w:pPr>
    <w:rPr>
      <w:rFonts w:ascii="Cambria" w:hAnsi="Cambria" w:cs="FreeSans"/>
      <w:i/>
      <w:iCs/>
      <w:sz w:val="24"/>
      <w:szCs w:val="24"/>
    </w:rPr>
  </w:style>
  <w:style w:type="paragraph" w:styleId="Ndice" w:customStyle="1">
    <w:name w:val="Índice"/>
    <w:basedOn w:val="Normal"/>
    <w:qFormat/>
    <w:pPr>
      <w:suppressLineNumbers/>
    </w:pPr>
    <w:rPr>
      <w:rFonts w:ascii="Cambria" w:hAnsi="Cambria" w:cs="FreeSans"/>
    </w:rPr>
  </w:style>
  <w:style w:type="paragraph" w:styleId="Encabezamiento">
    <w:name w:val="Header"/>
    <w:basedOn w:val="Normal"/>
    <w:link w:val="EncabezadoCar"/>
    <w:uiPriority w:val="99"/>
    <w:unhideWhenUsed/>
    <w:rsid w:val="00935e22"/>
    <w:pPr>
      <w:tabs>
        <w:tab w:val="center" w:pos="4252" w:leader="none"/>
        <w:tab w:val="right" w:pos="8504" w:leader="none"/>
      </w:tabs>
    </w:pPr>
    <w:rPr/>
  </w:style>
  <w:style w:type="paragraph" w:styleId="Caption">
    <w:name w:val="caption"/>
    <w:basedOn w:val="Normal"/>
    <w:qFormat/>
    <w:pPr>
      <w:suppressLineNumbers/>
      <w:spacing w:before="120" w:after="120"/>
    </w:pPr>
    <w:rPr>
      <w:rFonts w:ascii="Cambria" w:hAnsi="Cambria" w:cs="FreeSans"/>
      <w:i/>
      <w:iCs/>
      <w:szCs w:val="24"/>
    </w:rPr>
  </w:style>
  <w:style w:type="paragraph" w:styleId="ListParagraph">
    <w:name w:val="List Paragraph"/>
    <w:basedOn w:val="Normal"/>
    <w:uiPriority w:val="34"/>
    <w:qFormat/>
    <w:rsid w:val="00176928"/>
    <w:pPr>
      <w:spacing w:before="0" w:after="0"/>
      <w:ind w:left="720" w:hanging="0"/>
      <w:contextualSpacing/>
    </w:pPr>
    <w:rPr/>
  </w:style>
  <w:style w:type="paragraph" w:styleId="Footnotetext">
    <w:name w:val="footnote text"/>
    <w:basedOn w:val="Normal"/>
    <w:link w:val="TextonotapieCar"/>
    <w:qFormat/>
    <w:pPr/>
    <w:rPr/>
  </w:style>
  <w:style w:type="paragraph" w:styleId="Default" w:customStyle="1">
    <w:name w:val="Default"/>
    <w:qFormat/>
    <w:rsid w:val="009a2dcd"/>
    <w:pPr>
      <w:widowControl/>
      <w:bidi w:val="0"/>
      <w:jc w:val="left"/>
    </w:pPr>
    <w:rPr>
      <w:rFonts w:ascii="Corbel" w:hAnsi="Corbel" w:eastAsia="Calibri" w:cs="Corbel"/>
      <w:color w:val="000000"/>
      <w:sz w:val="24"/>
      <w:szCs w:val="24"/>
      <w:lang w:val="es-ES" w:eastAsia="en-US" w:bidi="ar-SA"/>
    </w:rPr>
  </w:style>
  <w:style w:type="paragraph" w:styleId="Textoformularios" w:customStyle="1">
    <w:name w:val="Texto formularios"/>
    <w:basedOn w:val="Normal"/>
    <w:next w:val="Normal"/>
    <w:qFormat/>
    <w:rsid w:val="00fe22b3"/>
    <w:pPr>
      <w:widowControl w:val="false"/>
      <w:tabs>
        <w:tab w:val="left" w:pos="1134" w:leader="none"/>
      </w:tabs>
      <w:spacing w:before="0" w:after="57"/>
      <w:ind w:firstLine="283"/>
      <w:jc w:val="both"/>
    </w:pPr>
    <w:rPr>
      <w:rFonts w:ascii="Stone Sans" w:hAnsi="Stone Sans" w:eastAsia="Times New Roman"/>
      <w:sz w:val="20"/>
      <w:lang w:val="es-ES"/>
    </w:rPr>
  </w:style>
  <w:style w:type="paragraph" w:styleId="NormalWeb">
    <w:name w:val="Normal (Web)"/>
    <w:basedOn w:val="Normal"/>
    <w:uiPriority w:val="99"/>
    <w:unhideWhenUsed/>
    <w:qFormat/>
    <w:rsid w:val="00ff6a92"/>
    <w:pPr>
      <w:spacing w:beforeAutospacing="1" w:afterAutospacing="1"/>
    </w:pPr>
    <w:rPr>
      <w:rFonts w:ascii="Times New Roman" w:hAnsi="Times New Roman" w:eastAsia="Times New Roman"/>
      <w:szCs w:val="24"/>
      <w:lang w:val="es-ES"/>
    </w:rPr>
  </w:style>
  <w:style w:type="paragraph" w:styleId="HTMLPreformatted">
    <w:name w:val="HTML Preformatted"/>
    <w:basedOn w:val="Normal"/>
    <w:link w:val="HTMLconformatoprevioCar"/>
    <w:uiPriority w:val="99"/>
    <w:unhideWhenUsed/>
    <w:qFormat/>
    <w:rsid w:val="00ff6a92"/>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eastAsia="Times New Roman" w:cs="Courier New"/>
      <w:sz w:val="20"/>
      <w:lang w:val="es-ES"/>
    </w:rPr>
  </w:style>
  <w:style w:type="paragraph" w:styleId="Docmetadata" w:customStyle="1">
    <w:name w:val="doc-metadata"/>
    <w:basedOn w:val="Normal"/>
    <w:qFormat/>
    <w:rsid w:val="00ff6a92"/>
    <w:pPr>
      <w:spacing w:beforeAutospacing="1" w:afterAutospacing="1"/>
    </w:pPr>
    <w:rPr>
      <w:rFonts w:ascii="Times New Roman" w:hAnsi="Times New Roman" w:eastAsia="Times New Roman"/>
      <w:szCs w:val="24"/>
      <w:lang w:val="es-ES"/>
    </w:rPr>
  </w:style>
  <w:style w:type="paragraph" w:styleId="M653863891825536084gmailmsolistparagraph" w:customStyle="1">
    <w:name w:val="m_-653863891825536084gmail-msolistparagraph"/>
    <w:basedOn w:val="Normal"/>
    <w:qFormat/>
    <w:rsid w:val="006a6c29"/>
    <w:pPr>
      <w:spacing w:beforeAutospacing="1" w:afterAutospacing="1"/>
    </w:pPr>
    <w:rPr>
      <w:rFonts w:ascii="Times New Roman" w:hAnsi="Times New Roman" w:eastAsia="Times New Roman"/>
      <w:szCs w:val="24"/>
      <w:lang w:val="es-ES"/>
    </w:rPr>
  </w:style>
  <w:style w:type="paragraph" w:styleId="BalloonText">
    <w:name w:val="Balloon Text"/>
    <w:basedOn w:val="Normal"/>
    <w:link w:val="TextodegloboCar"/>
    <w:uiPriority w:val="99"/>
    <w:semiHidden/>
    <w:unhideWhenUsed/>
    <w:qFormat/>
    <w:rsid w:val="0043696b"/>
    <w:pPr/>
    <w:rPr>
      <w:rFonts w:ascii="Tahoma" w:hAnsi="Tahoma" w:cs="Tahoma"/>
      <w:sz w:val="16"/>
      <w:szCs w:val="16"/>
    </w:rPr>
  </w:style>
  <w:style w:type="paragraph" w:styleId="Piedepgina">
    <w:name w:val="Footer"/>
    <w:basedOn w:val="Normal"/>
    <w:link w:val="PiedepginaCar"/>
    <w:uiPriority w:val="99"/>
    <w:unhideWhenUsed/>
    <w:rsid w:val="00935e22"/>
    <w:pPr>
      <w:tabs>
        <w:tab w:val="center" w:pos="4252" w:leader="none"/>
        <w:tab w:val="right" w:pos="8504" w:leader="none"/>
      </w:tabs>
    </w:pPr>
    <w:rPr/>
  </w:style>
  <w:style w:type="paragraph" w:styleId="Contenidodelmarco" w:customStyle="1">
    <w:name w:val="Contenido del marco"/>
    <w:basedOn w:val="Normal"/>
    <w:qFormat/>
    <w:pPr/>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636F76-2E2B-497E-BA8D-3105352FC9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Application>LibreOffice/5.1.6.2$Linux_x86 LibreOffice_project/10m0$Build-2</Application>
  <Pages>2</Pages>
  <Words>881</Words>
  <Characters>4578</Characters>
  <CharactersWithSpaces>5443</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2021-04-27T10:10:00Z</dcterms:created>
  <dc:creator>Gabriel de la Mora</dc:creator>
  <dc:description/>
  <dc:language>es-ES</dc:language>
  <cp:lastModifiedBy>Gabriel de la Mora</cp:lastModifiedBy>
  <cp:lastPrinted>2021-04-28T06:38:00Z</cp:lastPrinted>
  <dcterms:modified xsi:type="dcterms:W3CDTF">2021-05-28T12:35:39Z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