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jc w:val="center"/>
        <w:rPr>
          <w:rFonts w:ascii="Nimbus Roman No9 L" w:hAnsi="Nimbus Roman No9 L"/>
          <w:color w:val="000000"/>
        </w:rPr>
      </w:pPr>
      <w:r>
        <w:rPr>
          <w:rFonts w:eastAsia="Corbel" w:cs="Segoe UI" w:ascii="Nimbus Roman No9 L" w:hAnsi="Nimbus Roman No9 L"/>
          <w:b/>
          <w:color w:val="000000"/>
          <w:lang w:val="es-ES"/>
        </w:rPr>
        <w:t xml:space="preserve">A LA ENTIDAD FINANCIERA </w:t>
      </w:r>
      <w:r>
        <w:rPr>
          <w:rFonts w:eastAsia="Corbel" w:cs="Segoe UI" w:ascii="Nimbus Roman No9 L" w:hAnsi="Nimbus Roman No9 L"/>
          <w:b/>
          <w:color w:val="000000"/>
          <w:lang w:val="es-ES"/>
        </w:rPr>
        <w:t>XXXXXXXXXXX</w:t>
      </w:r>
    </w:p>
    <w:p>
      <w:pPr>
        <w:pStyle w:val="Normal"/>
        <w:spacing w:lineRule="auto" w:line="276"/>
        <w:jc w:val="both"/>
        <w:rPr>
          <w:rFonts w:ascii="Nimbus Roman No9 L" w:hAnsi="Nimbus Roman No9 L" w:eastAsia="Corbel" w:cs="Segoe UI"/>
          <w:b/>
          <w:b/>
          <w:color w:val="000000"/>
          <w:lang w:val="es-ES"/>
        </w:rPr>
      </w:pPr>
      <w:r>
        <w:rPr>
          <w:rFonts w:eastAsia="Corbel" w:cs="Segoe UI" w:ascii="Nimbus Roman No9 L" w:hAnsi="Nimbus Roman No9 L"/>
          <w:b/>
          <w:color w:val="000000"/>
          <w:lang w:val="es-ES"/>
        </w:rPr>
      </w:r>
    </w:p>
    <w:p>
      <w:pPr>
        <w:pStyle w:val="Normal"/>
        <w:spacing w:lineRule="auto" w:line="276"/>
        <w:jc w:val="both"/>
        <w:rPr>
          <w:rFonts w:ascii="Nimbus Roman No9 L" w:hAnsi="Nimbus Roman No9 L"/>
          <w:color w:val="000000"/>
        </w:rPr>
      </w:pPr>
      <w:r>
        <w:rPr>
          <w:rFonts w:eastAsia="Corbel" w:cs="Segoe UI" w:ascii="Nimbus Roman No9 L" w:hAnsi="Nimbus Roman No9 L"/>
          <w:b/>
          <w:color w:val="000000"/>
          <w:lang w:val="es-ES"/>
        </w:rPr>
        <w:t xml:space="preserve">D. </w:t>
      </w:r>
      <w:r>
        <w:rPr>
          <w:rFonts w:eastAsia="Corbel" w:cs="Segoe UI" w:ascii="Nimbus Roman No9 L" w:hAnsi="Nimbus Roman No9 L"/>
          <w:b/>
          <w:color w:val="000000"/>
          <w:lang w:val="es-ES"/>
        </w:rPr>
        <w:t>NOMBRE Y APELLIDOS</w:t>
      </w:r>
      <w:r>
        <w:rPr>
          <w:rFonts w:eastAsia="Corbel" w:cs="Segoe UI" w:ascii="Nimbus Roman No9 L" w:hAnsi="Nimbus Roman No9 L"/>
          <w:color w:val="000000"/>
          <w:lang w:val="es-ES"/>
        </w:rPr>
        <w:t xml:space="preserve">, mayor de edad, provisto de NIE </w:t>
      </w:r>
      <w:r>
        <w:rPr>
          <w:rFonts w:eastAsia="Corbel" w:cs="Segoe UI" w:ascii="Nimbus Roman No9 L" w:hAnsi="Nimbus Roman No9 L"/>
          <w:color w:val="000000"/>
          <w:lang w:val="es-ES"/>
        </w:rPr>
        <w:t>XXXXXXXXXXX</w:t>
      </w:r>
      <w:r>
        <w:rPr>
          <w:rFonts w:eastAsia="Corbel" w:cs="Segoe UI" w:ascii="Nimbus Roman No9 L" w:hAnsi="Nimbus Roman No9 L"/>
          <w:color w:val="000000"/>
          <w:lang w:val="es-ES"/>
        </w:rPr>
        <w:t xml:space="preserve"> y pasaporte </w:t>
      </w:r>
      <w:r>
        <w:rPr>
          <w:rFonts w:eastAsia="Corbel" w:cs="Segoe UI" w:ascii="Nimbus Roman No9 L" w:hAnsi="Nimbus Roman No9 L"/>
          <w:color w:val="000000"/>
          <w:lang w:val="es-ES"/>
        </w:rPr>
        <w:t>XXXXXXXX</w:t>
      </w:r>
      <w:r>
        <w:rPr>
          <w:rFonts w:eastAsia="Corbel" w:cs="Segoe UI" w:ascii="Nimbus Roman No9 L" w:hAnsi="Nimbus Roman No9 L"/>
          <w:color w:val="000000"/>
          <w:lang w:val="es-ES"/>
        </w:rPr>
        <w:t xml:space="preserve">, nacionalidad </w:t>
      </w:r>
      <w:r>
        <w:rPr>
          <w:rFonts w:eastAsia="Corbel" w:cs="Segoe UI" w:ascii="Nimbus Roman No9 L" w:hAnsi="Nimbus Roman No9 L"/>
          <w:color w:val="000000"/>
          <w:lang w:val="es-ES"/>
        </w:rPr>
        <w:t>XXXXXXXXX</w:t>
      </w:r>
      <w:r>
        <w:rPr>
          <w:rFonts w:eastAsia="Corbel" w:cs="Segoe UI" w:ascii="Nimbus Roman No9 L" w:hAnsi="Nimbus Roman No9 L"/>
          <w:color w:val="000000"/>
          <w:lang w:val="es-ES"/>
        </w:rPr>
        <w:t xml:space="preserve">, cuyo resto de circunstancias ya constan, ante ustedes comparece y, como mejor proceda en Derecho </w:t>
      </w:r>
      <w:r>
        <w:rPr>
          <w:rFonts w:eastAsia="Corbel" w:cs="Segoe UI" w:ascii="Nimbus Roman No9 L" w:hAnsi="Nimbus Roman No9 L"/>
          <w:b/>
          <w:color w:val="000000"/>
          <w:lang w:val="es-ES"/>
        </w:rPr>
        <w:t>EXPONE:</w:t>
      </w:r>
    </w:p>
    <w:p>
      <w:pPr>
        <w:pStyle w:val="Normal"/>
        <w:spacing w:lineRule="auto" w:line="276"/>
        <w:jc w:val="both"/>
        <w:rPr>
          <w:rFonts w:ascii="Nimbus Roman No9 L" w:hAnsi="Nimbus Roman No9 L" w:eastAsia="Corbel" w:cs="Segoe UI"/>
          <w:color w:val="000000"/>
          <w:lang w:val="es-ES"/>
        </w:rPr>
      </w:pPr>
      <w:r>
        <w:rPr>
          <w:rFonts w:eastAsia="Corbel" w:cs="Segoe UI" w:ascii="Nimbus Roman No9 L" w:hAnsi="Nimbus Roman No9 L"/>
          <w:color w:val="000000"/>
          <w:lang w:val="es-ES"/>
        </w:rPr>
      </w:r>
    </w:p>
    <w:p>
      <w:pPr>
        <w:pStyle w:val="Normal"/>
        <w:spacing w:lineRule="auto" w:line="276"/>
        <w:jc w:val="both"/>
        <w:rPr>
          <w:rFonts w:ascii="Segoe UI" w:hAnsi="Segoe UI" w:eastAsia="Corbel" w:cs="Segoe UI"/>
          <w:lang w:val="es-ES"/>
        </w:rPr>
      </w:pPr>
      <w:r>
        <w:rPr>
          <w:rFonts w:eastAsia="Corbel" w:cs="Segoe UI" w:ascii="Nimbus Roman No9 L" w:hAnsi="Nimbus Roman No9 L"/>
          <w:b/>
          <w:color w:val="000000"/>
          <w:lang w:val="es-ES"/>
        </w:rPr>
        <w:t>PRIMERO.-</w:t>
      </w:r>
      <w:r>
        <w:rPr>
          <w:rFonts w:eastAsia="Corbel" w:cs="Segoe UI" w:ascii="Nimbus Roman No9 L" w:hAnsi="Nimbus Roman No9 L"/>
          <w:color w:val="000000"/>
          <w:lang w:val="es-ES"/>
        </w:rPr>
        <w:t xml:space="preserve">  Que el </w:t>
      </w:r>
      <w:r>
        <w:rPr>
          <w:rFonts w:eastAsia="Calibri" w:cs="Segoe UI" w:ascii="Nimbus Roman No9 L" w:hAnsi="Nimbus Roman No9 L"/>
          <w:color w:val="000000" w:themeShade="bf"/>
          <w:szCs w:val="24"/>
          <w:lang w:val="es-ES" w:eastAsia="en-US"/>
        </w:rPr>
        <w:t>art. 3 del Real Decreto-ley 19/2017, de 24 de noviembre, de cuentas de pago básicas, traslado de cuentas de pago y comparabilidad de comisiones</w:t>
      </w:r>
      <w:r>
        <w:rPr>
          <w:rFonts w:eastAsia="Corbel" w:cs="Segoe UI" w:ascii="Nimbus Roman No9 L" w:hAnsi="Nimbus Roman No9 L"/>
          <w:color w:val="000000"/>
          <w:lang w:val="es-ES"/>
        </w:rPr>
        <w:t xml:space="preserve"> establece el derecho de acceso a una cuenta de pago básica y que las entidades financieras están obligadas a ofrecerlas a los potenciales clientes que:</w:t>
      </w:r>
    </w:p>
    <w:p>
      <w:pPr>
        <w:pStyle w:val="Pa8"/>
        <w:spacing w:lineRule="auto" w:line="276" w:before="160" w:after="0"/>
        <w:ind w:left="708" w:hanging="0"/>
        <w:jc w:val="both"/>
        <w:rPr>
          <w:rFonts w:ascii="Segoe UI" w:hAnsi="Segoe UI" w:eastAsia="Corbel" w:cs="Segoe UI"/>
          <w:lang w:val="es-ES"/>
        </w:rPr>
      </w:pPr>
      <w:r>
        <w:rPr>
          <w:rFonts w:eastAsia="Corbel" w:cs="Segoe UI" w:ascii="Nimbus Roman No9 L" w:hAnsi="Nimbus Roman No9 L"/>
          <w:color w:val="000000"/>
          <w:szCs w:val="20"/>
          <w:lang w:val="es-ES" w:eastAsia="es-ES"/>
        </w:rPr>
        <w:t>“</w:t>
      </w:r>
      <w:r>
        <w:rPr>
          <w:rFonts w:eastAsia="Corbel" w:cs="Segoe UI" w:ascii="Nimbus Roman No9 L" w:hAnsi="Nimbus Roman No9 L"/>
          <w:i/>
          <w:color w:val="000000"/>
          <w:szCs w:val="20"/>
          <w:lang w:val="es-ES" w:eastAsia="es-ES"/>
        </w:rPr>
        <w:t xml:space="preserve">a) Residan legalmente en la Unión Europea, incluidos los clientes que no tengan domicilio fijo; </w:t>
      </w:r>
      <w:r>
        <w:rPr>
          <w:rFonts w:eastAsia="Corbel" w:cs="Segoe UI" w:ascii="Nimbus Roman No9 L" w:hAnsi="Nimbus Roman No9 L"/>
          <w:b/>
          <w:i/>
          <w:color w:val="000000"/>
          <w:szCs w:val="20"/>
          <w:lang w:val="es-ES" w:eastAsia="es-ES"/>
        </w:rPr>
        <w:t>b) sean solicitantes de asilo</w:t>
      </w:r>
      <w:r>
        <w:rPr>
          <w:rFonts w:eastAsia="Corbel" w:cs="Segoe UI" w:ascii="Nimbus Roman No9 L" w:hAnsi="Nimbus Roman No9 L"/>
          <w:i/>
          <w:color w:val="000000"/>
          <w:szCs w:val="20"/>
          <w:lang w:val="es-ES" w:eastAsia="es-ES"/>
        </w:rPr>
        <w:t xml:space="preserve">; </w:t>
      </w:r>
      <w:r>
        <w:rPr>
          <w:rFonts w:eastAsia="Corbel" w:cs="Segoe UI" w:ascii="Nimbus Roman No9 L" w:hAnsi="Nimbus Roman No9 L"/>
          <w:i/>
          <w:color w:val="000000"/>
          <w:szCs w:val="20"/>
          <w:lang w:val="es-ES"/>
        </w:rPr>
        <w:t xml:space="preserve">c) no tengan un permiso de residencia pero </w:t>
      </w:r>
      <w:r>
        <w:rPr>
          <w:rFonts w:eastAsia="Corbel" w:cs="Segoe UI" w:ascii="Nimbus Roman No9 L" w:hAnsi="Nimbus Roman No9 L"/>
          <w:b/>
          <w:i/>
          <w:color w:val="000000"/>
          <w:szCs w:val="20"/>
          <w:lang w:val="es-ES"/>
        </w:rPr>
        <w:t>su expulsión sea imposible por razones jurídicas o de hecho</w:t>
      </w:r>
      <w:r>
        <w:rPr>
          <w:rFonts w:eastAsia="Corbel" w:cs="Segoe UI" w:ascii="Nimbus Roman No9 L" w:hAnsi="Nimbus Roman No9 L"/>
          <w:i/>
          <w:color w:val="000000"/>
          <w:szCs w:val="20"/>
          <w:lang w:val="es-ES"/>
        </w:rPr>
        <w:t>.”</w:t>
      </w:r>
    </w:p>
    <w:p>
      <w:pPr>
        <w:pStyle w:val="Normal"/>
        <w:spacing w:lineRule="auto" w:line="276"/>
        <w:jc w:val="both"/>
        <w:rPr>
          <w:rFonts w:ascii="Nimbus Roman No9 L" w:hAnsi="Nimbus Roman No9 L" w:eastAsia="Corbel" w:cs="Segoe UI"/>
          <w:color w:val="000000"/>
          <w:lang w:val="es-ES"/>
        </w:rPr>
      </w:pPr>
      <w:r>
        <w:rPr>
          <w:rFonts w:eastAsia="Corbel" w:cs="Segoe UI" w:ascii="Nimbus Roman No9 L" w:hAnsi="Nimbus Roman No9 L"/>
          <w:color w:val="000000"/>
          <w:lang w:val="es-ES"/>
        </w:rPr>
      </w:r>
    </w:p>
    <w:p>
      <w:pPr>
        <w:pStyle w:val="Normal"/>
        <w:spacing w:lineRule="auto" w:line="276"/>
        <w:jc w:val="both"/>
        <w:rPr>
          <w:rFonts w:ascii="Segoe UI" w:hAnsi="Segoe UI" w:eastAsia="Corbel" w:cs="Segoe UI"/>
          <w:lang w:val="es-ES"/>
        </w:rPr>
      </w:pPr>
      <w:r>
        <w:rPr>
          <w:rFonts w:eastAsia="Corbel" w:cs="Segoe UI" w:ascii="Nimbus Roman No9 L" w:hAnsi="Nimbus Roman No9 L"/>
          <w:b/>
          <w:color w:val="000000"/>
          <w:lang w:val="es-ES"/>
        </w:rPr>
        <w:t>SEGUNDO.-</w:t>
      </w:r>
      <w:r>
        <w:rPr>
          <w:rFonts w:eastAsia="Corbel" w:cs="Segoe UI" w:ascii="Nimbus Roman No9 L" w:hAnsi="Nimbus Roman No9 L"/>
          <w:color w:val="000000"/>
          <w:lang w:val="es-ES"/>
        </w:rPr>
        <w:t xml:space="preserve"> Que en la actualidad mi situación administrativa se enmarca tanto en el apartado b), como c) del art. 3 referido, puesto que soy solicitante de protección internacional con nº de expediente </w:t>
      </w:r>
      <w:r>
        <w:rPr>
          <w:rFonts w:eastAsia="Corbel" w:cs="Segoe UI" w:ascii="Nimbus Roman No9 L" w:hAnsi="Nimbus Roman No9 L"/>
          <w:color w:val="000000"/>
          <w:lang w:val="es-ES"/>
        </w:rPr>
        <w:t>XXXXXXXXXXX</w:t>
      </w:r>
      <w:r>
        <w:rPr>
          <w:rFonts w:eastAsia="Corbel" w:cs="Segoe UI" w:ascii="Nimbus Roman No9 L" w:hAnsi="Nimbus Roman No9 L"/>
          <w:color w:val="000000"/>
          <w:lang w:val="es-ES"/>
        </w:rPr>
        <w:t>, mi solicitud ha sido rechazada de forma provisional por parte del Ministerio del Interior, y dados los hechos y motivos del rechazo, y al no resolverse conforme el derecho de asilo, he interpuesto un recurso en vía administrativa por lo cual la solicitud se entiende todavía pendiente y por tanto la resolución no es definitiva según la normativa vigente.</w:t>
      </w:r>
    </w:p>
    <w:p>
      <w:pPr>
        <w:pStyle w:val="Normal"/>
        <w:spacing w:lineRule="auto" w:line="276"/>
        <w:jc w:val="both"/>
        <w:rPr>
          <w:rFonts w:ascii="Nimbus Roman No9 L" w:hAnsi="Nimbus Roman No9 L" w:eastAsia="Corbel" w:cs="Segoe UI"/>
          <w:color w:val="000000"/>
          <w:lang w:val="es-ES"/>
        </w:rPr>
      </w:pPr>
      <w:r>
        <w:rPr>
          <w:rFonts w:eastAsia="Corbel" w:cs="Segoe UI" w:ascii="Nimbus Roman No9 L" w:hAnsi="Nimbus Roman No9 L"/>
          <w:color w:val="000000"/>
          <w:lang w:val="es-ES"/>
        </w:rPr>
      </w:r>
    </w:p>
    <w:p>
      <w:pPr>
        <w:pStyle w:val="Normal"/>
        <w:spacing w:lineRule="auto" w:line="276"/>
        <w:jc w:val="both"/>
        <w:rPr>
          <w:rFonts w:ascii="Segoe UI" w:hAnsi="Segoe UI" w:eastAsia="Corbel" w:cs="Segoe UI"/>
          <w:lang w:val="es-ES"/>
        </w:rPr>
      </w:pPr>
      <w:r>
        <w:rPr>
          <w:rFonts w:eastAsia="Corbel" w:cs="Segoe UI" w:ascii="Nimbus Roman No9 L" w:hAnsi="Nimbus Roman No9 L"/>
          <w:color w:val="000000"/>
          <w:lang w:val="es-ES"/>
        </w:rPr>
        <w:t>Se adjunta justificante de presentación del recurso como DOCUMENTO Nº1.</w:t>
      </w:r>
    </w:p>
    <w:p>
      <w:pPr>
        <w:pStyle w:val="Normal"/>
        <w:spacing w:lineRule="auto" w:line="276"/>
        <w:jc w:val="both"/>
        <w:rPr>
          <w:rFonts w:ascii="Nimbus Roman No9 L" w:hAnsi="Nimbus Roman No9 L" w:eastAsia="Corbel" w:cs="Segoe UI"/>
          <w:color w:val="000000"/>
          <w:lang w:val="es-ES"/>
        </w:rPr>
      </w:pPr>
      <w:r>
        <w:rPr>
          <w:rFonts w:eastAsia="Corbel" w:cs="Segoe UI" w:ascii="Nimbus Roman No9 L" w:hAnsi="Nimbus Roman No9 L"/>
          <w:color w:val="000000"/>
          <w:lang w:val="es-ES"/>
        </w:rPr>
      </w:r>
    </w:p>
    <w:p>
      <w:pPr>
        <w:pStyle w:val="Default"/>
        <w:spacing w:lineRule="auto" w:line="276"/>
        <w:jc w:val="both"/>
        <w:rPr>
          <w:rFonts w:ascii="Nimbus Roman No9 L" w:hAnsi="Nimbus Roman No9 L"/>
          <w:color w:val="000000"/>
        </w:rPr>
      </w:pPr>
      <w:r>
        <w:rPr>
          <w:rFonts w:eastAsia="Corbel" w:cs="Segoe UI" w:ascii="Nimbus Roman No9 L" w:hAnsi="Nimbus Roman No9 L"/>
          <w:b/>
          <w:color w:val="000000"/>
        </w:rPr>
        <w:t>TERCERO.-</w:t>
      </w:r>
      <w:r>
        <w:rPr>
          <w:rFonts w:eastAsia="Corbel" w:cs="Segoe UI" w:ascii="Nimbus Roman No9 L" w:hAnsi="Nimbus Roman No9 L"/>
          <w:color w:val="000000"/>
        </w:rPr>
        <w:t xml:space="preserve"> Que mi condición de “solicitante de asilo” y los derechos derivados de la misma se mantienen hasta se me notifique resolución definitiva sobre el asunto, entendiéndose como “definitiva” el pronunciamiento de una autoridad judicial, en España la Audiencia Nacional; y todo ello conforme el </w:t>
      </w:r>
      <w:r>
        <w:rPr>
          <w:rFonts w:cs="Segoe UI" w:ascii="Nimbus Roman No9 L" w:hAnsi="Nimbus Roman No9 L"/>
          <w:color w:val="000000" w:themeShade="bf"/>
        </w:rPr>
        <w:t>art. 2 de la</w:t>
      </w:r>
      <w:r>
        <w:rPr>
          <w:rFonts w:cs="Segoe UI" w:ascii="Nimbus Roman No9 L" w:hAnsi="Nimbus Roman No9 L"/>
          <w:color w:val="000000"/>
        </w:rPr>
        <w:t xml:space="preserve"> </w:t>
      </w:r>
      <w:r>
        <w:rPr>
          <w:rFonts w:cs="Segoe UI" w:ascii="Nimbus Roman No9 L" w:hAnsi="Nimbus Roman No9 L"/>
          <w:color w:val="000000" w:themeShade="bf"/>
        </w:rPr>
        <w:t>Directiva 2013/33/UE del Parlamento Europeo y del Consejo, de 26 de junio,  por la que se aprueban normas para la acogida de los solicitantes de protección internacional</w:t>
      </w:r>
      <w:r>
        <w:rPr>
          <w:rFonts w:cs="Segoe UI" w:ascii="Nimbus Roman No9 L" w:hAnsi="Nimbus Roman No9 L"/>
          <w:color w:val="000000"/>
        </w:rPr>
        <w:t>, que define al “</w:t>
      </w:r>
      <w:r>
        <w:rPr>
          <w:rFonts w:cs="Segoe UI" w:ascii="Nimbus Roman No9 L" w:hAnsi="Nimbus Roman No9 L"/>
          <w:b/>
          <w:bCs/>
          <w:color w:val="000000"/>
        </w:rPr>
        <w:t>solicitante de asilo</w:t>
      </w:r>
      <w:r>
        <w:rPr>
          <w:rFonts w:cs="Segoe UI" w:ascii="Nimbus Roman No9 L" w:hAnsi="Nimbus Roman No9 L"/>
          <w:color w:val="000000"/>
        </w:rPr>
        <w:t>” o “</w:t>
      </w:r>
      <w:r>
        <w:rPr>
          <w:rFonts w:cs="Segoe UI" w:ascii="Nimbus Roman No9 L" w:hAnsi="Nimbus Roman No9 L"/>
          <w:b/>
          <w:color w:val="000000"/>
        </w:rPr>
        <w:t>solicitante</w:t>
      </w:r>
      <w:r>
        <w:rPr>
          <w:rFonts w:cs="Segoe UI" w:ascii="Nimbus Roman No9 L" w:hAnsi="Nimbus Roman No9 L"/>
          <w:color w:val="000000"/>
        </w:rPr>
        <w:t>” como el “</w:t>
      </w:r>
      <w:r>
        <w:rPr>
          <w:rFonts w:cs="Segoe UI" w:ascii="Nimbus Roman No9 L" w:hAnsi="Nimbus Roman No9 L"/>
          <w:i/>
          <w:iCs/>
          <w:color w:val="000000"/>
        </w:rPr>
        <w:t xml:space="preserve">nacional de un tercer país o apátrida que haya formulado una solicitud de protección internacional sobre la cual todavía </w:t>
      </w:r>
      <w:r>
        <w:rPr>
          <w:rFonts w:cs="Segoe UI" w:ascii="Nimbus Roman No9 L" w:hAnsi="Nimbus Roman No9 L"/>
          <w:b/>
          <w:bCs/>
          <w:i/>
          <w:iCs/>
          <w:color w:val="000000"/>
        </w:rPr>
        <w:t>no se haya dictado una resolución definitiva</w:t>
      </w:r>
      <w:r>
        <w:rPr>
          <w:rFonts w:cs="Segoe UI" w:ascii="Nimbus Roman No9 L" w:hAnsi="Nimbus Roman No9 L"/>
          <w:color w:val="000000"/>
        </w:rPr>
        <w:t xml:space="preserve">” y </w:t>
      </w:r>
      <w:r>
        <w:rPr>
          <w:rFonts w:eastAsia="Corbel" w:cs="Segoe UI" w:ascii="Nimbus Roman No9 L" w:hAnsi="Nimbus Roman No9 L"/>
          <w:color w:val="000000"/>
        </w:rPr>
        <w:t xml:space="preserve">reconoce la </w:t>
      </w:r>
      <w:r>
        <w:rPr>
          <w:rFonts w:eastAsia="Corbel" w:cs="Segoe UI" w:ascii="Nimbus Roman No9 L" w:hAnsi="Nimbus Roman No9 L"/>
          <w:color w:val="000000" w:themeShade="bf"/>
        </w:rPr>
        <w:t xml:space="preserve">STJUE 181-2017, de 19 de junio de 2018, </w:t>
      </w:r>
      <w:r>
        <w:rPr>
          <w:rFonts w:eastAsia="Corbel" w:cs="Segoe UI" w:ascii="Nimbus Roman No9 L" w:hAnsi="Nimbus Roman No9 L"/>
          <w:color w:val="000000"/>
        </w:rPr>
        <w:t>la cual recuerda que “</w:t>
      </w:r>
      <w:r>
        <w:rPr>
          <w:rFonts w:eastAsia="Corbel" w:cs="Segoe UI" w:ascii="Nimbus Roman No9 L" w:hAnsi="Nimbus Roman No9 L"/>
          <w:i/>
          <w:iCs/>
          <w:color w:val="000000"/>
          <w:lang w:eastAsia="es-ES"/>
        </w:rPr>
        <w:t xml:space="preserve">en espera del resultado del recurso contra la decisión denegatoria de su solicitud de protección internacional en primera instancia adoptada por la autoridad decisoria, </w:t>
      </w:r>
      <w:r>
        <w:rPr>
          <w:rFonts w:eastAsia="Corbel" w:cs="Segoe UI" w:ascii="Nimbus Roman No9 L" w:hAnsi="Nimbus Roman No9 L"/>
          <w:b/>
          <w:bCs/>
          <w:i/>
          <w:iCs/>
          <w:color w:val="000000"/>
          <w:lang w:eastAsia="es-ES"/>
        </w:rPr>
        <w:t>el afectado debe poder beneficiarse, en principio, de los derechos que se derivan de la Directiva 2003/9.</w:t>
      </w:r>
      <w:r>
        <w:rPr>
          <w:rFonts w:eastAsia="Corbel" w:cs="Segoe UI" w:ascii="Nimbus Roman No9 L" w:hAnsi="Nimbus Roman No9 L"/>
          <w:i/>
          <w:iCs/>
          <w:color w:val="000000"/>
          <w:lang w:eastAsia="es-ES"/>
        </w:rPr>
        <w:t xml:space="preserve"> </w:t>
      </w:r>
    </w:p>
    <w:p>
      <w:pPr>
        <w:pStyle w:val="Normal"/>
        <w:spacing w:lineRule="auto" w:line="276"/>
        <w:jc w:val="both"/>
        <w:rPr>
          <w:rFonts w:ascii="Nimbus Roman No9 L" w:hAnsi="Nimbus Roman No9 L"/>
          <w:color w:val="000000"/>
          <w:lang w:val="es-ES"/>
        </w:rPr>
      </w:pPr>
      <w:r>
        <w:rPr>
          <w:rFonts w:ascii="Nimbus Roman No9 L" w:hAnsi="Nimbus Roman No9 L"/>
          <w:color w:val="000000"/>
          <w:lang w:val="es-ES"/>
        </w:rPr>
      </w:r>
    </w:p>
    <w:p>
      <w:pPr>
        <w:pStyle w:val="Normal"/>
        <w:spacing w:lineRule="auto" w:line="276"/>
        <w:jc w:val="both"/>
        <w:rPr>
          <w:rFonts w:ascii="Segoe UI" w:hAnsi="Segoe UI" w:eastAsia="Corbel" w:cs="Segoe UI"/>
          <w:lang w:val="es-ES"/>
        </w:rPr>
      </w:pPr>
      <w:r>
        <w:rPr>
          <w:rFonts w:eastAsia="Corbel" w:cs="Segoe UI" w:ascii="Nimbus Roman No9 L" w:hAnsi="Nimbus Roman No9 L"/>
          <w:b/>
          <w:color w:val="000000"/>
          <w:lang w:val="es-ES"/>
        </w:rPr>
        <w:t>CUARTO.-</w:t>
      </w:r>
      <w:r>
        <w:rPr>
          <w:rFonts w:eastAsia="Corbel" w:cs="Segoe UI" w:ascii="Nimbus Roman No9 L" w:hAnsi="Nimbus Roman No9 L"/>
          <w:color w:val="000000"/>
          <w:lang w:val="es-ES"/>
        </w:rPr>
        <w:t xml:space="preserve"> Que entre los derechos derivados de la Directiva se encuentra el mantenimiento de la permanencia en el país mientras se resuelva el asunto, suspendiéndose por tanto la salida obligatoria del país a todos los efectos y conforme el </w:t>
      </w:r>
      <w:r>
        <w:rPr>
          <w:rFonts w:cs="Segoe UI" w:ascii="Nimbus Roman No9 L" w:hAnsi="Nimbus Roman No9 L"/>
          <w:color w:val="000000" w:themeShade="bf"/>
          <w:lang w:val="es-ES"/>
        </w:rPr>
        <w:t>apartado 5 del artículo 46 de la Directiva de Procedimientos</w:t>
      </w:r>
      <w:r>
        <w:rPr>
          <w:rFonts w:eastAsia="Corbel" w:cs="Segoe UI" w:ascii="Nimbus Roman No9 L" w:hAnsi="Nimbus Roman No9 L"/>
          <w:color w:val="000000"/>
          <w:lang w:val="es-ES"/>
        </w:rPr>
        <w:t xml:space="preserve"> que reconoce al solicitante de asilo que ha visto rechazada en primera instancia su solicitud el derecho a un recurso con carácter suspensivo obligando a los Estados a permitir “</w:t>
      </w:r>
      <w:r>
        <w:rPr>
          <w:rFonts w:eastAsia="Corbel" w:cs="Segoe UI" w:ascii="Nimbus Roman No9 L" w:hAnsi="Nimbus Roman No9 L"/>
          <w:i/>
          <w:iCs/>
          <w:color w:val="000000"/>
          <w:lang w:val="es-ES"/>
        </w:rPr>
        <w:t xml:space="preserve">que los </w:t>
      </w:r>
      <w:r>
        <w:rPr>
          <w:rFonts w:eastAsia="Corbel" w:cs="Segoe UI" w:ascii="Nimbus Roman No9 L" w:hAnsi="Nimbus Roman No9 L"/>
          <w:b/>
          <w:bCs/>
          <w:i/>
          <w:iCs/>
          <w:color w:val="000000"/>
          <w:lang w:val="es-ES"/>
        </w:rPr>
        <w:t>solicitantes permanezcan en el territorio</w:t>
      </w:r>
      <w:r>
        <w:rPr>
          <w:rFonts w:eastAsia="Corbel" w:cs="Segoe UI" w:ascii="Nimbus Roman No9 L" w:hAnsi="Nimbus Roman No9 L"/>
          <w:i/>
          <w:iCs/>
          <w:color w:val="000000"/>
          <w:lang w:val="es-ES"/>
        </w:rPr>
        <w:t xml:space="preserve"> hasta que haya expirado el plazo dentro del cual pueden ejercer su derecho a un recurso efectivo y, </w:t>
      </w:r>
      <w:r>
        <w:rPr>
          <w:rFonts w:eastAsia="Corbel" w:cs="Segoe UI" w:ascii="Nimbus Roman No9 L" w:hAnsi="Nimbus Roman No9 L"/>
          <w:b/>
          <w:bCs/>
          <w:i/>
          <w:iCs/>
          <w:color w:val="000000"/>
          <w:lang w:val="es-ES"/>
        </w:rPr>
        <w:t>cuando se haya ejercitado ese derecho dentro del plazo, en espera del resultado del recurso</w:t>
      </w:r>
      <w:r>
        <w:rPr>
          <w:rFonts w:eastAsia="Corbel" w:cs="Segoe UI" w:ascii="Nimbus Roman No9 L" w:hAnsi="Nimbus Roman No9 L"/>
          <w:color w:val="000000"/>
          <w:lang w:val="es-ES"/>
        </w:rPr>
        <w:t>”.</w:t>
      </w:r>
    </w:p>
    <w:p>
      <w:pPr>
        <w:pStyle w:val="Normal"/>
        <w:spacing w:lineRule="auto" w:line="276"/>
        <w:jc w:val="both"/>
        <w:rPr>
          <w:rFonts w:ascii="Nimbus Roman No9 L" w:hAnsi="Nimbus Roman No9 L" w:eastAsia="Corbel" w:cs="Segoe UI"/>
          <w:color w:val="000000"/>
          <w:lang w:val="es-ES"/>
        </w:rPr>
      </w:pPr>
      <w:r>
        <w:rPr>
          <w:rFonts w:eastAsia="Corbel" w:cs="Segoe UI" w:ascii="Nimbus Roman No9 L" w:hAnsi="Nimbus Roman No9 L"/>
          <w:color w:val="000000"/>
          <w:lang w:val="es-ES"/>
        </w:rPr>
      </w:r>
    </w:p>
    <w:p>
      <w:pPr>
        <w:pStyle w:val="Normal"/>
        <w:spacing w:lineRule="auto" w:line="276"/>
        <w:jc w:val="both"/>
        <w:rPr>
          <w:rFonts w:ascii="Segoe UI" w:hAnsi="Segoe UI" w:cs="Segoe UI"/>
          <w:color w:val="365F91" w:themeColor="accent1" w:themeShade="bf"/>
          <w:lang w:val="es-ES"/>
        </w:rPr>
      </w:pPr>
      <w:r>
        <w:rPr>
          <w:rFonts w:eastAsia="Corbel" w:cs="Segoe UI" w:ascii="Nimbus Roman No9 L" w:hAnsi="Nimbus Roman No9 L"/>
          <w:b/>
          <w:color w:val="000000"/>
          <w:lang w:val="es-ES"/>
        </w:rPr>
        <w:t>QUINTO.-</w:t>
      </w:r>
      <w:r>
        <w:rPr>
          <w:rFonts w:eastAsia="Corbel" w:cs="Segoe UI" w:ascii="Nimbus Roman No9 L" w:hAnsi="Nimbus Roman No9 L"/>
          <w:color w:val="000000"/>
          <w:lang w:val="es-ES"/>
        </w:rPr>
        <w:t xml:space="preserve"> Que a mayores de esta situación en el recurso administrativo interpuesto solicité medida de suspensión cautelar, la cual al no haber sido contestada en el plazo de 30 días se entiende concedida por silencio administrativo, según las previsiones del </w:t>
      </w:r>
      <w:r>
        <w:rPr>
          <w:rFonts w:cs="Segoe UI" w:ascii="Nimbus Roman No9 L" w:hAnsi="Nimbus Roman No9 L"/>
          <w:color w:val="000000" w:themeShade="bf"/>
          <w:lang w:val="es-ES"/>
        </w:rPr>
        <w:t>art. 117 de la Ley 39/2015 de 1 de Octubre, de Procedimiento Administrativo Común y Régimen de las administraciones públicas</w:t>
      </w:r>
    </w:p>
    <w:p>
      <w:pPr>
        <w:pStyle w:val="Normal"/>
        <w:spacing w:lineRule="auto" w:line="276"/>
        <w:jc w:val="both"/>
        <w:rPr>
          <w:rFonts w:ascii="Nimbus Roman No9 L" w:hAnsi="Nimbus Roman No9 L" w:eastAsia="Corbel" w:cs="Segoe UI"/>
          <w:color w:val="000000"/>
          <w:lang w:val="es-ES"/>
        </w:rPr>
      </w:pPr>
      <w:r>
        <w:rPr>
          <w:rFonts w:eastAsia="Corbel" w:cs="Segoe UI" w:ascii="Nimbus Roman No9 L" w:hAnsi="Nimbus Roman No9 L"/>
          <w:color w:val="000000"/>
          <w:lang w:val="es-ES"/>
        </w:rPr>
      </w:r>
    </w:p>
    <w:p>
      <w:pPr>
        <w:pStyle w:val="Default"/>
        <w:spacing w:lineRule="auto" w:line="276"/>
        <w:jc w:val="both"/>
        <w:rPr>
          <w:rFonts w:ascii="Segoe UI" w:hAnsi="Segoe UI" w:eastAsia="Corbel" w:cs="Segoe UI"/>
          <w:color w:val="00000A"/>
          <w:szCs w:val="20"/>
          <w:lang w:eastAsia="es-ES"/>
        </w:rPr>
      </w:pPr>
      <w:r>
        <w:rPr>
          <w:rFonts w:eastAsia="Corbel" w:cs="Segoe UI" w:ascii="Nimbus Roman No9 L" w:hAnsi="Nimbus Roman No9 L"/>
          <w:color w:val="000000"/>
          <w:szCs w:val="20"/>
          <w:lang w:eastAsia="es-ES"/>
        </w:rPr>
        <w:t>Por lo expuesto</w:t>
      </w:r>
    </w:p>
    <w:p>
      <w:pPr>
        <w:pStyle w:val="Default"/>
        <w:spacing w:lineRule="auto" w:line="276"/>
        <w:jc w:val="both"/>
        <w:rPr>
          <w:rFonts w:ascii="Nimbus Roman No9 L" w:hAnsi="Nimbus Roman No9 L" w:eastAsia="Corbel" w:cs="Segoe UI"/>
          <w:color w:val="000000"/>
          <w:szCs w:val="20"/>
          <w:lang w:eastAsia="es-ES"/>
        </w:rPr>
      </w:pPr>
      <w:r>
        <w:rPr>
          <w:rFonts w:eastAsia="Corbel" w:cs="Segoe UI" w:ascii="Nimbus Roman No9 L" w:hAnsi="Nimbus Roman No9 L"/>
          <w:color w:val="000000"/>
          <w:szCs w:val="20"/>
          <w:lang w:eastAsia="es-ES"/>
        </w:rPr>
      </w:r>
    </w:p>
    <w:p>
      <w:pPr>
        <w:pStyle w:val="Default"/>
        <w:spacing w:lineRule="auto" w:line="276"/>
        <w:jc w:val="both"/>
        <w:rPr>
          <w:rFonts w:ascii="Segoe UI" w:hAnsi="Segoe UI" w:eastAsia="Corbel" w:cs="Segoe UI"/>
          <w:color w:val="00000A"/>
          <w:szCs w:val="20"/>
          <w:lang w:eastAsia="es-ES"/>
        </w:rPr>
      </w:pPr>
      <w:r>
        <w:rPr>
          <w:rFonts w:eastAsia="Corbel" w:cs="Segoe UI" w:ascii="Nimbus Roman No9 L" w:hAnsi="Nimbus Roman No9 L"/>
          <w:b/>
          <w:color w:val="000000"/>
          <w:szCs w:val="20"/>
          <w:lang w:eastAsia="es-ES"/>
        </w:rPr>
        <w:t>SOLICITO</w:t>
      </w:r>
      <w:r>
        <w:rPr>
          <w:rFonts w:eastAsia="Corbel" w:cs="Segoe UI" w:ascii="Nimbus Roman No9 L" w:hAnsi="Nimbus Roman No9 L"/>
          <w:color w:val="000000"/>
          <w:szCs w:val="20"/>
          <w:lang w:eastAsia="es-ES"/>
        </w:rPr>
        <w:t xml:space="preserve"> se tenga en consideración lo expuesto y se proceda a mantener mi cuenta bancaria activa; subsidiariamente, se proceda al cambio a una cuenta de pago básica, a todos los efectos.</w:t>
      </w:r>
    </w:p>
    <w:p>
      <w:pPr>
        <w:pStyle w:val="Normal"/>
        <w:spacing w:lineRule="auto" w:line="276"/>
        <w:jc w:val="both"/>
        <w:rPr>
          <w:rFonts w:ascii="Nimbus Roman No9 L" w:hAnsi="Nimbus Roman No9 L" w:eastAsia="Corbel" w:cs="Segoe UI"/>
          <w:color w:val="000000"/>
          <w:lang w:val="es-ES"/>
        </w:rPr>
      </w:pPr>
      <w:r>
        <w:rPr>
          <w:rFonts w:eastAsia="Corbel" w:cs="Segoe UI" w:ascii="Nimbus Roman No9 L" w:hAnsi="Nimbus Roman No9 L"/>
          <w:color w:val="000000"/>
          <w:lang w:val="es-ES"/>
        </w:rPr>
      </w:r>
    </w:p>
    <w:p>
      <w:pPr>
        <w:pStyle w:val="Normal"/>
        <w:spacing w:lineRule="auto" w:line="276" w:before="0" w:after="200"/>
        <w:jc w:val="center"/>
        <w:rPr>
          <w:rFonts w:ascii="Nimbus Roman No9 L" w:hAnsi="Nimbus Roman No9 L"/>
          <w:color w:val="000000"/>
        </w:rPr>
      </w:pPr>
      <w:r>
        <w:rPr>
          <w:rFonts w:eastAsia="Corbel" w:cs="Segoe UI" w:ascii="Nimbus Roman No9 L" w:hAnsi="Nimbus Roman No9 L"/>
          <w:color w:val="000000"/>
          <w:lang w:val="es-ES"/>
        </w:rPr>
        <w:t xml:space="preserve">Es de Justicia, en </w:t>
      </w:r>
      <w:r>
        <w:rPr>
          <w:rFonts w:eastAsia="Corbel" w:cs="Segoe UI" w:ascii="Nimbus Roman No9 L" w:hAnsi="Nimbus Roman No9 L"/>
          <w:color w:val="000000"/>
          <w:lang w:val="es-ES"/>
        </w:rPr>
        <w:t>XXXXXXXXX</w:t>
      </w:r>
      <w:r>
        <w:rPr>
          <w:rFonts w:eastAsia="Corbel" w:cs="Segoe UI" w:ascii="Nimbus Roman No9 L" w:hAnsi="Nimbus Roman No9 L"/>
          <w:color w:val="000000"/>
          <w:lang w:val="es-ES"/>
        </w:rPr>
        <w:t xml:space="preserve"> a </w:t>
      </w:r>
      <w:r>
        <w:rPr>
          <w:rFonts w:eastAsia="Corbel" w:cs="Segoe UI" w:ascii="Nimbus Roman No9 L" w:hAnsi="Nimbus Roman No9 L"/>
          <w:color w:val="000000"/>
          <w:lang w:val="es-ES"/>
        </w:rPr>
        <w:t>XX</w:t>
      </w:r>
      <w:r>
        <w:rPr>
          <w:rFonts w:eastAsia="Corbel" w:cs="Segoe UI" w:ascii="Nimbus Roman No9 L" w:hAnsi="Nimbus Roman No9 L"/>
          <w:color w:val="000000"/>
          <w:lang w:val="es-ES"/>
        </w:rPr>
        <w:t xml:space="preserve"> de </w:t>
      </w:r>
      <w:bookmarkStart w:id="0" w:name="_GoBack"/>
      <w:bookmarkEnd w:id="0"/>
      <w:r>
        <w:rPr>
          <w:rFonts w:eastAsia="Corbel" w:cs="Segoe UI" w:ascii="Nimbus Roman No9 L" w:hAnsi="Nimbus Roman No9 L"/>
          <w:color w:val="000000"/>
          <w:lang w:val="es-ES"/>
        </w:rPr>
        <w:t>XXXX</w:t>
      </w:r>
      <w:r>
        <w:rPr>
          <w:rFonts w:eastAsia="Corbel" w:cs="Segoe UI" w:ascii="Nimbus Roman No9 L" w:hAnsi="Nimbus Roman No9 L"/>
          <w:color w:val="000000"/>
          <w:lang w:val="es-ES"/>
        </w:rPr>
        <w:t xml:space="preserve"> de 2021</w:t>
      </w:r>
    </w:p>
    <w:sectPr>
      <w:headerReference w:type="default" r:id="rId2"/>
      <w:footerReference w:type="default" r:id="rId3"/>
      <w:type w:val="nextPage"/>
      <w:pgSz w:w="11906" w:h="16838"/>
      <w:pgMar w:left="1418" w:right="1418" w:header="708" w:top="1418" w:footer="708" w:bottom="1418"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w:altName w:val="Times New Roman"/>
    <w:charset w:val="01"/>
    <w:family w:val="roman"/>
    <w:pitch w:val="default"/>
  </w:font>
  <w:font w:name="Liberation Sans">
    <w:altName w:val="Arial"/>
    <w:charset w:val="01"/>
    <w:family w:val="swiss"/>
    <w:pitch w:val="variable"/>
  </w:font>
  <w:font w:name="Cambria">
    <w:charset w:val="01"/>
    <w:family w:val="roman"/>
    <w:pitch w:val="default"/>
  </w:font>
  <w:font w:name="Corbel">
    <w:charset w:val="01"/>
    <w:family w:val="roman"/>
    <w:pitch w:val="default"/>
  </w:font>
  <w:font w:name="Arial">
    <w:charset w:val="01"/>
    <w:family w:val="roman"/>
    <w:pitch w:val="default"/>
  </w:font>
  <w:font w:name="Nimbus Roman No9 L">
    <w:altName w:val="Times New Roman"/>
    <w:charset w:val="01"/>
    <w:family w:val="roman"/>
    <w:pitch w:val="variable"/>
  </w:font>
  <w:font w:name="Segoe UI">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890767050"/>
    </w:sdtPr>
    <w:sdtContent>
      <w:p>
        <w:pPr>
          <w:pStyle w:val="Piedepgina"/>
          <w:jc w:val="right"/>
          <w:rPr/>
        </w:pPr>
        <w:r>
          <w:rPr/>
          <w:fldChar w:fldCharType="begin"/>
        </w:r>
        <w:r>
          <w:instrText> PAGE </w:instrText>
        </w:r>
        <w:r>
          <w:fldChar w:fldCharType="separate"/>
        </w:r>
        <w:r>
          <w:t>2</w:t>
        </w:r>
        <w:r>
          <w:fldChar w:fldCharType="end"/>
        </w:r>
        <w:r>
          <w:rPr/>
          <w:t>/2</w:t>
        </w:r>
      </w:p>
      <w:p>
        <w:pPr>
          <w:pStyle w:val="Piedepgina"/>
          <w:rPr/>
        </w:pPr>
        <w:r>
          <w:rPr/>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cabezamiento"/>
      <w:rPr/>
    </w:pPr>
    <w:r>
      <w:rPr>
        <w:lang w:val="es-ES"/>
      </w:rPr>
      <w:tab/>
    </w:r>
  </w:p>
</w:hdr>
</file>

<file path=word/settings.xml><?xml version="1.0" encoding="utf-8"?>
<w:settings xmlns:w="http://schemas.openxmlformats.org/wordprocessingml/2006/main">
  <w:zoom w:percent="140"/>
  <w:defaultTabStop w:val="708"/>
  <w:compat>
    <w:compatSetting w:name="compatibilityMode" w:uri="http://schemas.microsoft.com/office/word" w:val="12"/>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d781d"/>
    <w:pPr>
      <w:widowControl/>
      <w:bidi w:val="0"/>
      <w:spacing w:lineRule="auto" w:line="240" w:before="0" w:after="0"/>
      <w:jc w:val="left"/>
    </w:pPr>
    <w:rPr>
      <w:rFonts w:ascii="Times" w:hAnsi="Times" w:eastAsia="Times" w:cs="Times New Roman"/>
      <w:color w:val="00000A"/>
      <w:sz w:val="24"/>
      <w:szCs w:val="20"/>
      <w:lang w:val="en-US" w:eastAsia="es-E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bd781d"/>
    <w:rPr>
      <w:rFonts w:ascii="Times" w:hAnsi="Times" w:eastAsia="Times" w:cs="Times New Roman"/>
      <w:sz w:val="24"/>
      <w:szCs w:val="20"/>
      <w:lang w:val="en-US" w:eastAsia="es-ES"/>
    </w:rPr>
  </w:style>
  <w:style w:type="character" w:styleId="PiedepginaCar" w:customStyle="1">
    <w:name w:val="Pie de página Car"/>
    <w:basedOn w:val="DefaultParagraphFont"/>
    <w:link w:val="Piedepgina"/>
    <w:uiPriority w:val="99"/>
    <w:qFormat/>
    <w:rsid w:val="00bd781d"/>
    <w:rPr>
      <w:rFonts w:ascii="Times" w:hAnsi="Times" w:eastAsia="Times" w:cs="Times New Roman"/>
      <w:sz w:val="24"/>
      <w:szCs w:val="20"/>
      <w:lang w:val="en-US" w:eastAsia="es-ES"/>
    </w:rPr>
  </w:style>
  <w:style w:type="character" w:styleId="EncabezadoCar1" w:customStyle="1">
    <w:name w:val="Encabezado Car1"/>
    <w:basedOn w:val="DefaultParagraphFont"/>
    <w:uiPriority w:val="99"/>
    <w:semiHidden/>
    <w:qFormat/>
    <w:rsid w:val="00bd781d"/>
    <w:rPr>
      <w:rFonts w:ascii="Times" w:hAnsi="Times" w:eastAsia="Times" w:cs="Times New Roman"/>
      <w:color w:val="00000A"/>
      <w:sz w:val="24"/>
      <w:szCs w:val="20"/>
      <w:lang w:val="en-US" w:eastAsia="es-ES"/>
    </w:rPr>
  </w:style>
  <w:style w:type="character" w:styleId="PiedepginaCar1" w:customStyle="1">
    <w:name w:val="Pie de página Car1"/>
    <w:basedOn w:val="DefaultParagraphFont"/>
    <w:uiPriority w:val="99"/>
    <w:semiHidden/>
    <w:qFormat/>
    <w:rsid w:val="00bd781d"/>
    <w:rPr>
      <w:rFonts w:ascii="Times" w:hAnsi="Times" w:eastAsia="Times" w:cs="Times New Roman"/>
      <w:color w:val="00000A"/>
      <w:sz w:val="24"/>
      <w:szCs w:val="20"/>
      <w:lang w:val="en-US" w:eastAsia="es-ES"/>
    </w:rPr>
  </w:style>
  <w:style w:type="character" w:styleId="TextoindependienteCar" w:customStyle="1">
    <w:name w:val="Texto independiente Car"/>
    <w:basedOn w:val="DefaultParagraphFont"/>
    <w:link w:val="Textoindependiente"/>
    <w:uiPriority w:val="99"/>
    <w:semiHidden/>
    <w:qFormat/>
    <w:rsid w:val="00bd781d"/>
    <w:rPr>
      <w:rFonts w:ascii="Times" w:hAnsi="Times" w:eastAsia="Times" w:cs="Times New Roman"/>
      <w:color w:val="00000A"/>
      <w:sz w:val="24"/>
      <w:szCs w:val="20"/>
      <w:lang w:val="en-US" w:eastAsia="es-ES"/>
    </w:rPr>
  </w:style>
  <w:style w:type="paragraph" w:styleId="Encabezado">
    <w:name w:val="Encabezado"/>
    <w:basedOn w:val="Normal"/>
    <w:next w:val="Cuerpodetexto"/>
    <w:qFormat/>
    <w:pPr>
      <w:keepNext/>
      <w:spacing w:before="240" w:after="120"/>
    </w:pPr>
    <w:rPr>
      <w:rFonts w:ascii="Liberation Sans" w:hAnsi="Liberation Sans" w:eastAsia="Noto Sans CJK SC Regular" w:cs="FreeSans"/>
      <w:sz w:val="28"/>
      <w:szCs w:val="28"/>
    </w:rPr>
  </w:style>
  <w:style w:type="paragraph" w:styleId="Cuerpodetexto">
    <w:name w:val="Body Text"/>
    <w:basedOn w:val="Normal"/>
    <w:link w:val="TextoindependienteCar"/>
    <w:uiPriority w:val="99"/>
    <w:semiHidden/>
    <w:unhideWhenUsed/>
    <w:rsid w:val="00bd781d"/>
    <w:pPr>
      <w:spacing w:before="0" w:after="120"/>
    </w:pPr>
    <w:rPr/>
  </w:style>
  <w:style w:type="paragraph" w:styleId="Lista">
    <w:name w:val="List"/>
    <w:basedOn w:val="Cuerpodetexto"/>
    <w:pPr/>
    <w:rPr>
      <w:rFonts w:ascii="Cambria" w:hAnsi="Cambria" w:cs="FreeSans"/>
    </w:rPr>
  </w:style>
  <w:style w:type="paragraph" w:styleId="Leyenda">
    <w:name w:val="Caption"/>
    <w:basedOn w:val="Normal"/>
    <w:qFormat/>
    <w:pPr>
      <w:suppressLineNumbers/>
      <w:spacing w:before="120" w:after="120"/>
    </w:pPr>
    <w:rPr>
      <w:rFonts w:ascii="Cambria" w:hAnsi="Cambria" w:cs="FreeSans"/>
      <w:i/>
      <w:iCs/>
      <w:sz w:val="24"/>
      <w:szCs w:val="24"/>
    </w:rPr>
  </w:style>
  <w:style w:type="paragraph" w:styleId="Ndice">
    <w:name w:val="Índice"/>
    <w:basedOn w:val="Normal"/>
    <w:qFormat/>
    <w:pPr>
      <w:suppressLineNumbers/>
    </w:pPr>
    <w:rPr>
      <w:rFonts w:ascii="Cambria" w:hAnsi="Cambria" w:cs="FreeSans"/>
    </w:rPr>
  </w:style>
  <w:style w:type="paragraph" w:styleId="Encabezamiento">
    <w:name w:val="Header"/>
    <w:basedOn w:val="Normal"/>
    <w:link w:val="EncabezadoCar"/>
    <w:uiPriority w:val="99"/>
    <w:unhideWhenUsed/>
    <w:rsid w:val="00bd781d"/>
    <w:pPr>
      <w:tabs>
        <w:tab w:val="center" w:pos="4252" w:leader="none"/>
        <w:tab w:val="right" w:pos="8504" w:leader="none"/>
      </w:tabs>
    </w:pPr>
    <w:rPr>
      <w:color w:val="00000A"/>
    </w:rPr>
  </w:style>
  <w:style w:type="paragraph" w:styleId="Default" w:customStyle="1">
    <w:name w:val="Default"/>
    <w:qFormat/>
    <w:rsid w:val="00bd781d"/>
    <w:pPr>
      <w:widowControl/>
      <w:bidi w:val="0"/>
      <w:spacing w:lineRule="auto" w:line="240" w:before="0" w:after="0"/>
      <w:jc w:val="left"/>
    </w:pPr>
    <w:rPr>
      <w:rFonts w:ascii="Corbel" w:hAnsi="Corbel" w:eastAsia="Calibri" w:cs="Corbel"/>
      <w:color w:val="000000"/>
      <w:sz w:val="24"/>
      <w:szCs w:val="24"/>
      <w:lang w:val="es-ES" w:eastAsia="en-US" w:bidi="ar-SA"/>
    </w:rPr>
  </w:style>
  <w:style w:type="paragraph" w:styleId="Piedepgina">
    <w:name w:val="Footer"/>
    <w:basedOn w:val="Normal"/>
    <w:link w:val="PiedepginaCar"/>
    <w:uiPriority w:val="99"/>
    <w:unhideWhenUsed/>
    <w:rsid w:val="00bd781d"/>
    <w:pPr>
      <w:tabs>
        <w:tab w:val="center" w:pos="4252" w:leader="none"/>
        <w:tab w:val="right" w:pos="8504" w:leader="none"/>
      </w:tabs>
    </w:pPr>
    <w:rPr>
      <w:color w:val="00000A"/>
    </w:rPr>
  </w:style>
  <w:style w:type="paragraph" w:styleId="Pa13" w:customStyle="1">
    <w:name w:val="Pa13"/>
    <w:basedOn w:val="Default"/>
    <w:next w:val="Default"/>
    <w:uiPriority w:val="99"/>
    <w:qFormat/>
    <w:rsid w:val="00ae6be3"/>
    <w:pPr>
      <w:spacing w:lineRule="atLeast" w:line="201"/>
    </w:pPr>
    <w:rPr>
      <w:rFonts w:ascii="Arial" w:hAnsi="Arial" w:eastAsia="Calibri" w:cs="Arial" w:eastAsiaTheme="minorHAnsi"/>
      <w:color w:val="00000A"/>
      <w:lang w:val="en-US"/>
    </w:rPr>
  </w:style>
  <w:style w:type="paragraph" w:styleId="Pa9" w:customStyle="1">
    <w:name w:val="Pa9"/>
    <w:basedOn w:val="Default"/>
    <w:next w:val="Default"/>
    <w:uiPriority w:val="99"/>
    <w:qFormat/>
    <w:rsid w:val="00ae6be3"/>
    <w:pPr>
      <w:spacing w:lineRule="atLeast" w:line="201"/>
    </w:pPr>
    <w:rPr>
      <w:rFonts w:ascii="Arial" w:hAnsi="Arial" w:eastAsia="Calibri" w:cs="Arial" w:eastAsiaTheme="minorHAnsi"/>
      <w:color w:val="00000A"/>
      <w:lang w:val="en-US"/>
    </w:rPr>
  </w:style>
  <w:style w:type="paragraph" w:styleId="Pa8" w:customStyle="1">
    <w:name w:val="Pa8"/>
    <w:basedOn w:val="Default"/>
    <w:next w:val="Default"/>
    <w:uiPriority w:val="99"/>
    <w:qFormat/>
    <w:rsid w:val="00ae6be3"/>
    <w:pPr>
      <w:spacing w:lineRule="atLeast" w:line="201"/>
    </w:pPr>
    <w:rPr>
      <w:rFonts w:ascii="Arial" w:hAnsi="Arial" w:eastAsia="Calibri" w:cs="Arial" w:eastAsiaTheme="minorHAnsi"/>
      <w:color w:val="00000A"/>
      <w:lang w:val="en-U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Application>LibreOffice/5.1.6.2$Linux_x86 LibreOffice_project/10m0$Build-2</Application>
  <Pages>2</Pages>
  <Words>621</Words>
  <Characters>3243</Characters>
  <CharactersWithSpaces>3855</CharactersWithSpaces>
  <Paragraphs>14</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2021-04-21T10:59:00Z</dcterms:created>
  <dc:creator>sdoval</dc:creator>
  <dc:description/>
  <dc:language>es-ES</dc:language>
  <cp:lastModifiedBy>Gabriel de la Mora</cp:lastModifiedBy>
  <dcterms:modified xsi:type="dcterms:W3CDTF">2021-04-25T17:09:59Z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